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7</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7" w:name="_GoBack"/>
      <w:r>
        <w:rPr>
          <w:rFonts w:hint="eastAsia" w:ascii="Arial" w:hAnsi="Arial" w:cs="Arial"/>
          <w:b/>
          <w:sz w:val="24"/>
          <w:szCs w:val="24"/>
        </w:rPr>
        <w:t>R4-2</w:t>
      </w:r>
      <w:r>
        <w:rPr>
          <w:rFonts w:hint="eastAsia" w:ascii="Arial" w:hAnsi="Arial" w:cs="Arial"/>
          <w:b/>
          <w:sz w:val="24"/>
          <w:szCs w:val="24"/>
          <w:lang w:val="en-US" w:eastAsia="zh-CN"/>
        </w:rPr>
        <w:t>307923</w:t>
      </w:r>
      <w:bookmarkEnd w:id="7"/>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cs="Arial"/>
          <w:b/>
          <w:sz w:val="24"/>
          <w:szCs w:val="24"/>
          <w:lang w:val="en-US" w:eastAsia="zh-CN"/>
        </w:rPr>
        <w:t>Incheon, Korea</w:t>
      </w:r>
      <w:r>
        <w:rPr>
          <w:rFonts w:ascii="Arial" w:hAnsi="Arial" w:cs="Arial"/>
          <w:b/>
          <w:sz w:val="24"/>
          <w:szCs w:val="24"/>
          <w:lang w:eastAsia="zh-CN"/>
        </w:rPr>
        <w:t xml:space="preserve">, </w:t>
      </w:r>
      <w:r>
        <w:rPr>
          <w:rFonts w:hint="eastAsia" w:ascii="Arial" w:hAnsi="Arial" w:cs="Arial"/>
          <w:b/>
          <w:sz w:val="24"/>
          <w:szCs w:val="24"/>
          <w:lang w:val="en-US" w:eastAsia="zh-CN"/>
        </w:rPr>
        <w:t>22</w:t>
      </w:r>
      <w:r>
        <w:rPr>
          <w:rFonts w:hint="eastAsia" w:ascii="Arial" w:hAnsi="Arial" w:eastAsia="MS Mincho" w:cs="Arial"/>
          <w:b/>
          <w:sz w:val="24"/>
          <w:szCs w:val="24"/>
          <w:lang w:eastAsia="en-US"/>
        </w:rPr>
        <w:t xml:space="preserve">th - </w:t>
      </w:r>
      <w:r>
        <w:rPr>
          <w:rFonts w:hint="eastAsia" w:ascii="Arial" w:hAnsi="Arial" w:eastAsia="宋体" w:cs="Arial"/>
          <w:b/>
          <w:sz w:val="24"/>
          <w:szCs w:val="24"/>
          <w:lang w:val="en-US" w:eastAsia="zh-CN"/>
        </w:rPr>
        <w:t>26th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5.2.5.2</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5"/>
        </w:tabs>
        <w:spacing w:after="180"/>
        <w:ind w:left="1980" w:hanging="1980"/>
        <w:rPr>
          <w:rFonts w:hint="default" w:ascii="Arial" w:hAnsi="Arial" w:eastAsia="MS Mincho" w:cs="Arial"/>
          <w:b/>
          <w:sz w:val="24"/>
          <w:szCs w:val="24"/>
          <w:lang w:val="en-US"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Disscussion on Mobility procedures with NCD-SSBs</w:t>
      </w:r>
    </w:p>
    <w:p>
      <w:pPr>
        <w:tabs>
          <w:tab w:val="left" w:pos="1985"/>
        </w:tabs>
        <w:spacing w:after="0"/>
        <w:ind w:left="1979" w:hanging="1979"/>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2"/>
        <w:tabs>
          <w:tab w:val="left" w:pos="567"/>
          <w:tab w:val="clear" w:pos="1985"/>
        </w:tabs>
        <w:adjustRightInd w:val="0"/>
        <w:ind w:left="510" w:hanging="510"/>
      </w:pPr>
      <w:r>
        <w:t>Introduction</w:t>
      </w:r>
    </w:p>
    <w:p>
      <w:pPr>
        <w:spacing w:before="240" w:after="0"/>
        <w:jc w:val="both"/>
        <w:rPr>
          <w:rFonts w:hint="default"/>
          <w:lang w:val="en-US" w:eastAsia="zh-CN"/>
        </w:rPr>
      </w:pPr>
      <w:r>
        <w:rPr>
          <w:kern w:val="0"/>
          <w:sz w:val="21"/>
          <w:szCs w:val="21"/>
          <w:lang w:val="en-US" w:eastAsia="en-US"/>
        </w:rPr>
        <w:t xml:space="preserve">In this contribution, </w:t>
      </w:r>
      <w:r>
        <w:rPr>
          <w:rFonts w:hint="eastAsia"/>
          <w:kern w:val="0"/>
          <w:sz w:val="21"/>
          <w:szCs w:val="21"/>
          <w:lang w:val="en-US" w:eastAsia="en-US"/>
        </w:rPr>
        <w:t>we discussed some of the remaining issues from the previous meeting</w:t>
      </w:r>
      <w:r>
        <w:rPr>
          <w:rFonts w:hint="eastAsia"/>
          <w:kern w:val="0"/>
          <w:sz w:val="21"/>
          <w:szCs w:val="21"/>
          <w:lang w:val="en-US" w:eastAsia="zh-CN"/>
        </w:rPr>
        <w:t xml:space="preserve"> [1]</w:t>
      </w:r>
      <w:r>
        <w:rPr>
          <w:rFonts w:hint="eastAsia"/>
          <w:kern w:val="0"/>
          <w:sz w:val="21"/>
          <w:szCs w:val="21"/>
          <w:lang w:val="en-US" w:eastAsia="en-US"/>
        </w:rPr>
        <w:t xml:space="preserve"> and expressed our views. </w:t>
      </w:r>
    </w:p>
    <w:p>
      <w:pPr>
        <w:pStyle w:val="52"/>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0"/>
      <w:bookmarkStart w:id="3" w:name="OLE_LINK20"/>
      <w:bookmarkStart w:id="4" w:name="OLE_LINK14"/>
      <w:r>
        <w:rPr>
          <w:rFonts w:hint="eastAsia" w:eastAsia="Times New Roman"/>
        </w:rPr>
        <w:t xml:space="preserve"> </w:t>
      </w:r>
    </w:p>
    <w:p>
      <w:pPr>
        <w:spacing w:before="0" w:after="0"/>
        <w:jc w:val="left"/>
        <w:rPr>
          <w:rFonts w:hint="eastAsia"/>
          <w:lang w:val="en-US" w:eastAsia="zh-CN"/>
        </w:rPr>
      </w:pPr>
      <w:r>
        <w:rPr>
          <w:lang w:eastAsia="zh-CN"/>
        </w:rPr>
        <w:t xml:space="preserve">In </w:t>
      </w:r>
      <w:r>
        <w:rPr>
          <w:rFonts w:hint="eastAsia"/>
          <w:lang w:val="en-US" w:eastAsia="zh-CN"/>
        </w:rPr>
        <w:t>RAN4#105</w:t>
      </w:r>
      <w:r>
        <w:rPr>
          <w:lang w:eastAsia="zh-CN"/>
        </w:rPr>
        <w:t xml:space="preserve"> meeting, </w:t>
      </w:r>
      <w:r>
        <w:rPr>
          <w:rFonts w:hint="eastAsia"/>
          <w:lang w:val="en-US" w:eastAsia="zh-CN"/>
        </w:rPr>
        <w:t>we discussed whether switching to a BWP with SSBs different from those used during measurement should be considered as switching to a known or unknown cell</w:t>
      </w:r>
      <w:r>
        <w:rPr>
          <w:lang w:eastAsia="zh-CN"/>
        </w:rPr>
        <w:t xml:space="preserve"> and reached the following agreement [2]</w:t>
      </w:r>
      <w:r>
        <w:rPr>
          <w:rFonts w:hint="eastAsia"/>
          <w:lang w:val="en-US" w:eastAsia="zh-CN"/>
        </w:rPr>
        <w:t xml:space="preserve">. </w:t>
      </w:r>
      <w:r>
        <w:rPr>
          <w:rFonts w:hint="eastAsia"/>
          <w:lang w:val="en-US" w:eastAsia="ja-JP"/>
        </w:rPr>
        <w:t xml:space="preserve">Based on the above conclusion, a company proposed modifications at </w:t>
      </w:r>
      <w:r>
        <w:rPr>
          <w:rFonts w:hint="eastAsia"/>
          <w:lang w:val="en-US" w:eastAsia="zh-CN"/>
        </w:rPr>
        <w:t>RAN4#</w:t>
      </w:r>
      <w:r>
        <w:rPr>
          <w:rFonts w:hint="eastAsia"/>
          <w:lang w:val="en-US" w:eastAsia="ja-JP"/>
        </w:rPr>
        <w:t>106 meeting and suggested adding the following description to the agreement</w:t>
      </w:r>
      <w:r>
        <w:rPr>
          <w:rFonts w:hint="eastAsia"/>
          <w:lang w:val="en-US" w:eastAsia="zh-CN"/>
        </w:rPr>
        <w:t>. The modified parts have been highlighted:</w:t>
      </w:r>
    </w:p>
    <w:p>
      <w:pPr>
        <w:spacing w:before="0" w:after="0"/>
        <w:jc w:val="left"/>
        <w:rPr>
          <w:rFonts w:hint="default"/>
          <w:lang w:val="en-US" w:eastAsia="zh-CN"/>
        </w:rPr>
      </w:pPr>
    </w:p>
    <w:tbl>
      <w:tblPr>
        <w:tblStyle w:val="21"/>
        <w:tblW w:w="983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98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357" w:hRule="atLeast"/>
        </w:trPr>
        <w:tc>
          <w:tcPr>
            <w:tcW w:w="9836" w:type="dxa"/>
            <w:tcMar>
              <w:top w:w="0" w:type="dxa"/>
              <w:left w:w="108" w:type="dxa"/>
              <w:bottom w:w="0" w:type="dxa"/>
              <w:right w:w="108" w:type="dxa"/>
            </w:tcMar>
          </w:tcPr>
          <w:p>
            <w:pPr>
              <w:rPr>
                <w:b/>
                <w:bCs/>
                <w:lang w:eastAsia="zh-CN"/>
              </w:rPr>
            </w:pPr>
            <w:r>
              <w:rPr>
                <w:b/>
                <w:bCs/>
                <w:lang w:eastAsia="zh-CN"/>
              </w:rPr>
              <w:t>Revise the agreement from the previous meeting as below:</w:t>
            </w:r>
          </w:p>
          <w:p>
            <w:pPr>
              <w:pStyle w:val="31"/>
              <w:numPr>
                <w:ilvl w:val="0"/>
                <w:numId w:val="3"/>
              </w:numPr>
              <w:rPr>
                <w:b/>
                <w:bCs/>
                <w:sz w:val="20"/>
                <w:szCs w:val="20"/>
                <w:lang w:eastAsia="zh-CN"/>
              </w:rPr>
            </w:pPr>
            <w:r>
              <w:rPr>
                <w:b/>
                <w:bCs/>
                <w:sz w:val="20"/>
                <w:szCs w:val="20"/>
                <w:lang w:eastAsia="zh-CN"/>
              </w:rPr>
              <w:t>For the case when the UE performs measurement on a SSB and handover to a BWP with un-measured SSB, the following apply:</w:t>
            </w:r>
          </w:p>
          <w:p>
            <w:pPr>
              <w:pStyle w:val="31"/>
              <w:numPr>
                <w:ilvl w:val="1"/>
                <w:numId w:val="3"/>
              </w:numPr>
              <w:rPr>
                <w:b/>
                <w:bCs/>
                <w:sz w:val="20"/>
                <w:szCs w:val="20"/>
                <w:lang w:eastAsia="zh-CN"/>
              </w:rPr>
            </w:pPr>
            <w:r>
              <w:rPr>
                <w:b/>
                <w:bCs/>
                <w:sz w:val="20"/>
                <w:szCs w:val="20"/>
                <w:lang w:eastAsia="zh-CN"/>
              </w:rPr>
              <w:t xml:space="preserve">The requirements apply for the scenario where the measured SSB and the SSB in the target BWP for HO belong to the same target cell, </w:t>
            </w:r>
            <w:r>
              <w:rPr>
                <w:b/>
                <w:bCs/>
                <w:sz w:val="20"/>
                <w:szCs w:val="20"/>
                <w:highlight w:val="yellow"/>
                <w:u w:val="single"/>
                <w:lang w:eastAsia="zh-CN"/>
              </w:rPr>
              <w:t>i.e., they share the same physCellID (PCI)</w:t>
            </w:r>
          </w:p>
          <w:p>
            <w:pPr>
              <w:pStyle w:val="31"/>
              <w:numPr>
                <w:ilvl w:val="1"/>
                <w:numId w:val="3"/>
              </w:numPr>
              <w:rPr>
                <w:b/>
                <w:bCs/>
                <w:sz w:val="20"/>
                <w:szCs w:val="20"/>
                <w:highlight w:val="yellow"/>
                <w:u w:val="single"/>
                <w:lang w:eastAsia="zh-CN"/>
              </w:rPr>
            </w:pPr>
            <w:r>
              <w:rPr>
                <w:b/>
                <w:bCs/>
                <w:sz w:val="20"/>
                <w:szCs w:val="20"/>
                <w:highlight w:val="yellow"/>
                <w:u w:val="single"/>
                <w:lang w:eastAsia="zh-CN"/>
              </w:rPr>
              <w:t>UE may assume that the TX power of the SSB of the target cell’s active BWP is same as that of the measured SSBs that belong to the same PCI</w:t>
            </w:r>
          </w:p>
          <w:p>
            <w:pPr>
              <w:pStyle w:val="31"/>
              <w:numPr>
                <w:ilvl w:val="0"/>
                <w:numId w:val="3"/>
              </w:numPr>
              <w:rPr>
                <w:b/>
                <w:bCs/>
                <w:sz w:val="20"/>
                <w:szCs w:val="20"/>
                <w:lang w:eastAsia="zh-CN"/>
              </w:rPr>
            </w:pPr>
            <w:r>
              <w:rPr>
                <w:b/>
                <w:bCs/>
                <w:sz w:val="20"/>
                <w:szCs w:val="20"/>
                <w:lang w:eastAsia="zh-CN"/>
              </w:rPr>
              <w:t xml:space="preserve">Note: the above agreement is for RedCap, where the measured SSB and the target SSB for HO of the same target cell are: </w:t>
            </w:r>
          </w:p>
          <w:p>
            <w:pPr>
              <w:pStyle w:val="31"/>
              <w:numPr>
                <w:ilvl w:val="1"/>
                <w:numId w:val="3"/>
              </w:numPr>
              <w:rPr>
                <w:b/>
                <w:bCs/>
                <w:sz w:val="20"/>
                <w:szCs w:val="20"/>
                <w:lang w:eastAsia="zh-CN"/>
              </w:rPr>
            </w:pPr>
            <w:r>
              <w:rPr>
                <w:b/>
                <w:bCs/>
                <w:sz w:val="20"/>
                <w:szCs w:val="20"/>
                <w:lang w:eastAsia="zh-CN"/>
              </w:rPr>
              <w:t>NCD-SSB and NCD-SSB, respectively</w:t>
            </w:r>
          </w:p>
          <w:p>
            <w:pPr>
              <w:pStyle w:val="31"/>
              <w:numPr>
                <w:ilvl w:val="1"/>
                <w:numId w:val="3"/>
              </w:numPr>
              <w:rPr>
                <w:b/>
                <w:bCs/>
                <w:sz w:val="20"/>
                <w:szCs w:val="20"/>
                <w:lang w:eastAsia="zh-CN"/>
              </w:rPr>
            </w:pPr>
            <w:r>
              <w:rPr>
                <w:b/>
                <w:bCs/>
                <w:sz w:val="20"/>
                <w:szCs w:val="20"/>
                <w:lang w:eastAsia="zh-CN"/>
              </w:rPr>
              <w:t>CD-SSB and NCD-SSB, respectively</w:t>
            </w:r>
          </w:p>
          <w:p>
            <w:pPr>
              <w:pStyle w:val="31"/>
              <w:numPr>
                <w:ilvl w:val="1"/>
                <w:numId w:val="3"/>
              </w:numPr>
              <w:rPr>
                <w:b/>
                <w:bCs/>
                <w:sz w:val="20"/>
                <w:szCs w:val="20"/>
                <w:lang w:eastAsia="zh-CN"/>
              </w:rPr>
            </w:pPr>
            <w:r>
              <w:rPr>
                <w:b/>
                <w:bCs/>
                <w:sz w:val="20"/>
                <w:szCs w:val="20"/>
                <w:lang w:eastAsia="zh-CN"/>
              </w:rPr>
              <w:t>NCD-SSB and CD-SSB, respectively</w:t>
            </w:r>
          </w:p>
          <w:p>
            <w:pPr>
              <w:pStyle w:val="31"/>
              <w:numPr>
                <w:ilvl w:val="0"/>
                <w:numId w:val="3"/>
              </w:numPr>
              <w:rPr>
                <w:b/>
                <w:bCs/>
                <w:sz w:val="20"/>
                <w:szCs w:val="20"/>
                <w:lang w:eastAsia="zh-CN"/>
              </w:rPr>
            </w:pPr>
            <w:r>
              <w:rPr>
                <w:b/>
                <w:bCs/>
                <w:sz w:val="20"/>
                <w:szCs w:val="20"/>
                <w:lang w:eastAsia="zh-CN"/>
              </w:rPr>
              <w:t>One additional sample is needed for known inter-frequency handover.</w:t>
            </w:r>
          </w:p>
          <w:p>
            <w:pPr>
              <w:widowControl/>
              <w:spacing w:after="180" w:line="259" w:lineRule="auto"/>
              <w:jc w:val="left"/>
              <w:rPr>
                <w:rFonts w:ascii="Arial" w:hAnsi="Arial" w:eastAsia="Calibri" w:cs="Arial"/>
                <w:kern w:val="0"/>
                <w:sz w:val="21"/>
                <w:szCs w:val="21"/>
                <w:lang w:val="en-GB" w:eastAsia="en-GB"/>
              </w:rPr>
            </w:pPr>
          </w:p>
        </w:tc>
      </w:tr>
    </w:tbl>
    <w:p>
      <w:pPr>
        <w:spacing w:before="240" w:after="0"/>
        <w:jc w:val="both"/>
        <w:rPr>
          <w:rFonts w:hint="eastAsia" w:eastAsia="宋体"/>
          <w:lang w:val="en-US" w:eastAsia="zh-CN"/>
        </w:rPr>
      </w:pPr>
      <w:r>
        <w:rPr>
          <w:rFonts w:hint="eastAsia"/>
          <w:lang w:val="en-US" w:eastAsia="ja-JP"/>
        </w:rPr>
        <w:t xml:space="preserve">According to our understanding, the difference from existing agreement is that this proposal aims to have the same </w:t>
      </w:r>
      <w:r>
        <w:rPr>
          <w:rFonts w:hint="eastAsia"/>
          <w:lang w:val="en-US" w:eastAsia="zh-CN"/>
        </w:rPr>
        <w:t>TX</w:t>
      </w:r>
      <w:r>
        <w:rPr>
          <w:rFonts w:hint="eastAsia"/>
          <w:lang w:val="en-US" w:eastAsia="ja-JP"/>
        </w:rPr>
        <w:t xml:space="preserve"> power for cells belonging to the same PCI, in order to solve the problem of the UE side being unable to determine whether the measured SSB belongs to the same cell as the target SSB used for handover due to missing frequency layer information</w:t>
      </w:r>
      <w:r>
        <w:rPr>
          <w:rFonts w:hint="eastAsia"/>
          <w:lang w:val="en-US" w:eastAsia="zh-CN"/>
        </w:rPr>
        <w:t>.</w:t>
      </w:r>
    </w:p>
    <w:p>
      <w:pPr>
        <w:spacing w:before="240" w:after="0"/>
        <w:jc w:val="both"/>
        <w:rPr>
          <w:rFonts w:hint="default"/>
          <w:lang w:val="en-US" w:eastAsia="zh-CN"/>
        </w:rPr>
      </w:pPr>
      <w:r>
        <w:rPr>
          <w:rFonts w:hint="eastAsia"/>
          <w:lang w:val="en-US" w:eastAsia="zh-CN"/>
        </w:rPr>
        <w:t xml:space="preserve">This scenario is shown in the figure </w:t>
      </w:r>
      <w:r>
        <w:rPr>
          <w:lang w:eastAsia="zh-CN"/>
        </w:rPr>
        <w:t>below</w:t>
      </w:r>
      <w:r>
        <w:rPr>
          <w:rFonts w:hint="eastAsia"/>
          <w:lang w:val="en-US" w:eastAsia="zh-CN"/>
        </w:rPr>
        <w:t xml:space="preserve"> [3]</w:t>
      </w:r>
      <w:r>
        <w:rPr>
          <w:lang w:eastAsia="zh-CN"/>
        </w:rPr>
        <w:t>.</w:t>
      </w:r>
      <w:r>
        <w:rPr>
          <w:rFonts w:hint="eastAsia"/>
          <w:lang w:val="en-US" w:eastAsia="zh-CN"/>
        </w:rPr>
        <w:t xml:space="preserve"> UE is configured to measure three SSBs in this scenario, namely NCD-SSB1 belonging to cell-0 and, CD-SSB and NCD-SSB3 belonging to cell-1. Assuming that the handover is triggered to NCD-SSB2 of Cell-0, although NCD-SSB2 has not been measured, NCD-SSB1 belonging to the same cell (Cell-0) is measured. Based on previous agreements, the handover belongs to a known cell handover, meaning that UE can complete the handover based on the previous measurement results without the need to perform a cell search again. However, a typical UE will view the PCI of the SSB configured in the </w:t>
      </w:r>
      <w:r>
        <w:rPr>
          <w:lang w:eastAsia="zh-CN"/>
        </w:rPr>
        <w:t>handover commend</w:t>
      </w:r>
      <w:r>
        <w:rPr>
          <w:rFonts w:hint="eastAsia"/>
          <w:lang w:val="en-US" w:eastAsia="zh-CN"/>
        </w:rPr>
        <w:t xml:space="preserve"> and scan the stored measurement results corresponding to the same PCI. It should be noted that Cell-0 and Cell-1 have the same PCI, which means that there are three measurement results corresponding to the same PCI. These three measurement results may differ due to different TX power of different cells. To avoid handover failure, it is necessary to ensure that the measurement results are similar, so we believe that it is reasonable to limit the TX power of different cells under the same PCI to be the same.</w:t>
      </w:r>
    </w:p>
    <w:p>
      <w:pPr>
        <w:spacing w:before="240" w:after="0"/>
        <w:jc w:val="center"/>
        <w:rPr>
          <w:lang w:eastAsia="zh-CN"/>
        </w:rPr>
      </w:pPr>
      <w:r>
        <w:rPr>
          <w:lang w:eastAsia="zh-CN"/>
        </w:rPr>
        <w:drawing>
          <wp:inline distT="0" distB="0" distL="0" distR="0">
            <wp:extent cx="2688590" cy="3178175"/>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688771" cy="3178175"/>
                    </a:xfrm>
                    <a:prstGeom prst="rect">
                      <a:avLst/>
                    </a:prstGeom>
                    <a:noFill/>
                  </pic:spPr>
                </pic:pic>
              </a:graphicData>
            </a:graphic>
          </wp:inline>
        </w:drawing>
      </w:r>
    </w:p>
    <w:p>
      <w:pPr>
        <w:spacing w:before="240" w:after="0"/>
        <w:jc w:val="center"/>
        <w:rPr>
          <w:rFonts w:hint="eastAsia"/>
          <w:lang w:val="en-US" w:eastAsia="zh-CN"/>
        </w:rPr>
      </w:pPr>
      <w:r>
        <w:rPr>
          <w:rFonts w:hint="eastAsia"/>
          <w:lang w:val="en-US" w:eastAsia="zh-CN"/>
        </w:rPr>
        <w:t>Figure 1. Illustration of handover and mearsurement</w:t>
      </w:r>
    </w:p>
    <w:p>
      <w:pPr>
        <w:spacing w:before="240" w:after="0"/>
        <w:jc w:val="both"/>
        <w:rPr>
          <w:rFonts w:hint="eastAsia"/>
          <w:b/>
          <w:bCs/>
          <w:lang w:val="en-US" w:eastAsia="zh-CN"/>
        </w:rPr>
      </w:pPr>
      <w:r>
        <w:rPr>
          <w:rFonts w:hint="eastAsia"/>
          <w:b/>
          <w:bCs/>
          <w:lang w:val="en-US" w:eastAsia="zh-CN"/>
        </w:rPr>
        <w:t>Proposal 1: UE may assume that the TX power of the SSB of the target cell</w:t>
      </w:r>
      <w:r>
        <w:rPr>
          <w:rFonts w:hint="default"/>
          <w:b/>
          <w:bCs/>
          <w:lang w:val="en-US" w:eastAsia="zh-CN"/>
        </w:rPr>
        <w:t>’</w:t>
      </w:r>
      <w:r>
        <w:rPr>
          <w:rFonts w:hint="eastAsia"/>
          <w:b/>
          <w:bCs/>
          <w:lang w:val="en-US" w:eastAsia="zh-CN"/>
        </w:rPr>
        <w:t>s active BWP is same as that of the measured SSBs that belong to the same PCI.</w:t>
      </w:r>
    </w:p>
    <w:p>
      <w:pPr>
        <w:spacing w:before="240" w:after="157" w:afterLines="50"/>
        <w:jc w:val="both"/>
        <w:rPr>
          <w:rFonts w:hint="eastAsia"/>
          <w:lang w:val="en-US" w:eastAsia="zh-CN"/>
        </w:rPr>
      </w:pPr>
      <w:r>
        <w:rPr>
          <w:rFonts w:hint="eastAsia"/>
          <w:lang w:val="en-US" w:eastAsia="zh-CN"/>
        </w:rPr>
        <w:t xml:space="preserve">The next issue is about the definition of intra-frequency and inter-frequency handover. Due to the fact that the service cell SSB and target cell SSB can be any combination of CD-SSB and NCD-SSB in RedCap UE, the definition of intra-frequency and inter-frequency handover in the specification is unclear. </w:t>
      </w:r>
    </w:p>
    <w:tbl>
      <w:tblPr>
        <w:tblStyle w:val="21"/>
        <w:tblW w:w="1000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100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521" w:hRule="atLeast"/>
        </w:trPr>
        <w:tc>
          <w:tcPr>
            <w:tcW w:w="10001" w:type="dxa"/>
            <w:tcMar>
              <w:top w:w="0" w:type="dxa"/>
              <w:left w:w="108" w:type="dxa"/>
              <w:bottom w:w="0" w:type="dxa"/>
              <w:right w:w="108" w:type="dxa"/>
            </w:tcMar>
          </w:tcPr>
          <w:p>
            <w:pPr>
              <w:widowControl/>
              <w:spacing w:after="0" w:line="240" w:lineRule="auto"/>
              <w:jc w:val="left"/>
              <w:rPr>
                <w:rFonts w:ascii="Arial" w:hAnsi="Arial" w:eastAsia="Calibri" w:cs="Arial"/>
                <w:kern w:val="0"/>
                <w:sz w:val="21"/>
                <w:szCs w:val="21"/>
                <w:lang w:val="en-GB" w:eastAsia="en-GB"/>
              </w:rPr>
            </w:pPr>
            <w:r>
              <w:rPr>
                <w:i/>
                <w:iCs/>
              </w:rPr>
              <w:t xml:space="preserve">[TS 38.133, Clause 9.2B.1] </w:t>
            </w:r>
            <w:r>
              <w:t xml:space="preserve">A measurement is defined as a SSB based intra-frequency measurement provided the centre frequency of the reference SSB of the serving cell and the centre frequency of the SSB of the neighbour cell are the same, and the subcarrier spacing of the two SSBs are also the same. </w:t>
            </w:r>
            <w:r>
              <w:rPr>
                <w:b/>
                <w:bCs/>
              </w:rPr>
              <w:t>The reference SSB is the</w:t>
            </w:r>
            <w:r>
              <w:rPr>
                <w:rFonts w:eastAsia="Malgun Gothic"/>
                <w:b/>
                <w:bCs/>
                <w:lang w:val="en-US" w:eastAsia="ko-KR"/>
              </w:rPr>
              <w:t xml:space="preserve"> </w:t>
            </w:r>
            <w:r>
              <w:rPr>
                <w:b/>
                <w:bCs/>
                <w:lang w:val="en-US" w:eastAsia="ko-KR"/>
              </w:rPr>
              <w:t xml:space="preserve">SSB defined in BWP-specific </w:t>
            </w:r>
            <w:r>
              <w:rPr>
                <w:b/>
                <w:bCs/>
                <w:i/>
                <w:lang w:val="en-US" w:eastAsia="ko-KR"/>
              </w:rPr>
              <w:t>servingCellMO</w:t>
            </w:r>
            <w:r>
              <w:rPr>
                <w:b/>
                <w:bCs/>
                <w:lang w:val="en-US" w:eastAsia="ko-KR"/>
              </w:rPr>
              <w:t xml:space="preserve"> under </w:t>
            </w:r>
            <w:r>
              <w:rPr>
                <w:b/>
                <w:bCs/>
                <w:i/>
                <w:lang w:val="en-US" w:eastAsia="ko-KR"/>
              </w:rPr>
              <w:t>BWP-DownlinkDedicated</w:t>
            </w:r>
            <w:r>
              <w:rPr>
                <w:b/>
                <w:bCs/>
                <w:lang w:val="en-US" w:eastAsia="ko-KR"/>
              </w:rPr>
              <w:t xml:space="preserve"> of active DL BWP. If the field is absent, </w:t>
            </w:r>
            <w:r>
              <w:rPr>
                <w:rFonts w:eastAsia="Yu Mincho"/>
                <w:b/>
                <w:bCs/>
                <w:lang w:val="en-US"/>
              </w:rPr>
              <w:t xml:space="preserve">the reference SSB is the </w:t>
            </w:r>
            <w:r>
              <w:rPr>
                <w:rFonts w:eastAsia="Yu Mincho"/>
                <w:b/>
                <w:bCs/>
              </w:rPr>
              <w:t xml:space="preserve">SSB defined in </w:t>
            </w:r>
            <w:r>
              <w:rPr>
                <w:rFonts w:eastAsia="Yu Mincho"/>
                <w:b/>
                <w:bCs/>
                <w:i/>
              </w:rPr>
              <w:t>servingCellMO</w:t>
            </w:r>
            <w:r>
              <w:rPr>
                <w:rFonts w:eastAsia="Yu Mincho"/>
                <w:b/>
                <w:bCs/>
              </w:rPr>
              <w:t xml:space="preserve"> under </w:t>
            </w:r>
            <w:r>
              <w:rPr>
                <w:rFonts w:eastAsia="Yu Mincho"/>
                <w:b/>
                <w:bCs/>
                <w:i/>
              </w:rPr>
              <w:t>ServingCellConfig</w:t>
            </w:r>
            <w:r>
              <w:rPr>
                <w:rFonts w:eastAsia="Yu Mincho"/>
                <w:i/>
              </w:rPr>
              <w:t>.</w:t>
            </w:r>
            <w:r>
              <w:rPr>
                <w:rFonts w:eastAsia="Yu Mincho"/>
                <w:iCs/>
              </w:rPr>
              <w:t xml:space="preserve"> </w:t>
            </w:r>
          </w:p>
        </w:tc>
      </w:tr>
    </w:tbl>
    <w:p>
      <w:pPr>
        <w:spacing w:before="240" w:after="0"/>
        <w:jc w:val="both"/>
        <w:rPr>
          <w:rFonts w:hint="default" w:eastAsia="宋体"/>
          <w:lang w:val="en-US" w:eastAsia="zh-CN"/>
        </w:rPr>
      </w:pPr>
      <w:r>
        <w:rPr>
          <w:rFonts w:hint="eastAsia"/>
        </w:rPr>
        <w:t>For known cells, the definition of intra</w:t>
      </w:r>
      <w:r>
        <w:rPr>
          <w:rFonts w:hint="eastAsia"/>
          <w:lang w:val="en-US" w:eastAsia="zh-CN"/>
        </w:rPr>
        <w:t>-</w:t>
      </w:r>
      <w:r>
        <w:rPr>
          <w:rFonts w:hint="eastAsia"/>
        </w:rPr>
        <w:t>frequency handover is based on whether the SSB measured on the target cell aligns with the BWP</w:t>
      </w:r>
      <w:r>
        <w:rPr>
          <w:rFonts w:hint="eastAsia"/>
          <w:lang w:val="en-US" w:eastAsia="zh-CN"/>
        </w:rPr>
        <w:t>-</w:t>
      </w:r>
      <w:r>
        <w:rPr>
          <w:rFonts w:hint="eastAsia"/>
        </w:rPr>
        <w:t xml:space="preserve">specific servingCellMO (if defined) or servingCellMO. Based on this understanding, </w:t>
      </w:r>
      <w:r>
        <w:rPr>
          <w:rFonts w:hint="eastAsia"/>
          <w:lang w:val="en-US" w:eastAsia="zh-CN"/>
        </w:rPr>
        <w:t>C</w:t>
      </w:r>
      <w:r>
        <w:rPr>
          <w:rFonts w:hint="eastAsia"/>
        </w:rPr>
        <w:t>ase 1 in Figure 2 is intra</w:t>
      </w:r>
      <w:r>
        <w:rPr>
          <w:rFonts w:hint="eastAsia"/>
          <w:lang w:val="en-US" w:eastAsia="zh-CN"/>
        </w:rPr>
        <w:t>-</w:t>
      </w:r>
      <w:r>
        <w:rPr>
          <w:rFonts w:hint="eastAsia"/>
        </w:rPr>
        <w:t xml:space="preserve">frequency, and </w:t>
      </w:r>
      <w:r>
        <w:rPr>
          <w:rFonts w:hint="eastAsia"/>
          <w:lang w:val="en-US" w:eastAsia="zh-CN"/>
        </w:rPr>
        <w:t>C</w:t>
      </w:r>
      <w:r>
        <w:rPr>
          <w:rFonts w:hint="eastAsia"/>
        </w:rPr>
        <w:t>ase 2 is inter</w:t>
      </w:r>
      <w:r>
        <w:rPr>
          <w:rFonts w:hint="eastAsia"/>
          <w:lang w:val="en-US" w:eastAsia="zh-CN"/>
        </w:rPr>
        <w:t>-</w:t>
      </w:r>
      <w:r>
        <w:rPr>
          <w:rFonts w:hint="eastAsia"/>
        </w:rPr>
        <w:t xml:space="preserve">frequency. </w:t>
      </w:r>
      <w:r>
        <w:rPr>
          <w:rFonts w:hint="eastAsia"/>
          <w:lang w:val="en-US" w:eastAsia="zh-CN"/>
        </w:rPr>
        <w:t>C</w:t>
      </w:r>
      <w:r>
        <w:rPr>
          <w:rFonts w:hint="eastAsia"/>
        </w:rPr>
        <w:t xml:space="preserve">ompared to </w:t>
      </w:r>
      <w:r>
        <w:rPr>
          <w:rFonts w:hint="eastAsia"/>
          <w:lang w:val="en-US" w:eastAsia="zh-CN"/>
        </w:rPr>
        <w:t>C</w:t>
      </w:r>
      <w:r>
        <w:rPr>
          <w:rFonts w:hint="eastAsia"/>
        </w:rPr>
        <w:t xml:space="preserve">ase 1, </w:t>
      </w:r>
      <w:r>
        <w:rPr>
          <w:rFonts w:hint="eastAsia"/>
          <w:lang w:val="en-US" w:eastAsia="zh-CN"/>
        </w:rPr>
        <w:t>C</w:t>
      </w:r>
      <w:r>
        <w:rPr>
          <w:rFonts w:hint="eastAsia"/>
        </w:rPr>
        <w:t xml:space="preserve">ase 2 can obtain an additional sample for AGC tuning. However, when comparing two cases, the need for additional sample in Case </w:t>
      </w:r>
      <w:r>
        <w:rPr>
          <w:rFonts w:hint="eastAsia"/>
          <w:lang w:val="en-US" w:eastAsia="zh-CN"/>
        </w:rPr>
        <w:t>1</w:t>
      </w:r>
      <w:r>
        <w:rPr>
          <w:rFonts w:hint="eastAsia"/>
        </w:rPr>
        <w:t xml:space="preserve"> is greater than in Case </w:t>
      </w:r>
      <w:r>
        <w:rPr>
          <w:rFonts w:hint="eastAsia"/>
          <w:lang w:val="en-US" w:eastAsia="zh-CN"/>
        </w:rPr>
        <w:t>2</w:t>
      </w:r>
      <w:r>
        <w:rPr>
          <w:rFonts w:hint="eastAsia"/>
        </w:rPr>
        <w:t xml:space="preserve">, as the AGC information of the target cell can be inferred from the AGC of servingCellMO in Case </w:t>
      </w:r>
      <w:r>
        <w:rPr>
          <w:rFonts w:hint="eastAsia"/>
          <w:lang w:val="en-US" w:eastAsia="zh-CN"/>
        </w:rPr>
        <w:t>2</w:t>
      </w:r>
      <w:r>
        <w:rPr>
          <w:rFonts w:hint="eastAsia"/>
        </w:rPr>
        <w:t>. In summary, the current definition of intra</w:t>
      </w:r>
      <w:r>
        <w:rPr>
          <w:rFonts w:hint="eastAsia"/>
          <w:lang w:eastAsia="ko-KR"/>
        </w:rPr>
        <w:t>/inter</w:t>
      </w:r>
      <w:r>
        <w:rPr>
          <w:rFonts w:hint="eastAsia"/>
          <w:lang w:val="en-US" w:eastAsia="zh-CN"/>
        </w:rPr>
        <w:t>-</w:t>
      </w:r>
      <w:r>
        <w:rPr>
          <w:rFonts w:hint="eastAsia"/>
        </w:rPr>
        <w:t>frequency handover is unreasonable</w:t>
      </w:r>
      <w:r>
        <w:rPr>
          <w:rFonts w:hint="eastAsia"/>
          <w:lang w:val="en-US" w:eastAsia="zh-CN"/>
        </w:rPr>
        <w:t xml:space="preserve"> and RAN4 need to clarify the definition of intra-frequency and inter-frequency handover in the spec.</w:t>
      </w:r>
    </w:p>
    <w:p>
      <w:pPr>
        <w:spacing w:before="240" w:after="0"/>
        <w:jc w:val="both"/>
      </w:pPr>
      <w:r>
        <w:drawing>
          <wp:inline distT="0" distB="0" distL="0" distR="0">
            <wp:extent cx="2867660" cy="1979930"/>
            <wp:effectExtent l="0" t="0" r="0" b="1270"/>
            <wp:docPr id="229" name="Picture 229" descr="Graphical user interface,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Picture 229" descr="Graphical user interface, treemap chart&#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67660" cy="1979930"/>
                    </a:xfrm>
                    <a:prstGeom prst="rect">
                      <a:avLst/>
                    </a:prstGeom>
                    <a:noFill/>
                  </pic:spPr>
                </pic:pic>
              </a:graphicData>
            </a:graphic>
          </wp:inline>
        </w:drawing>
      </w:r>
      <w:r>
        <w:rPr>
          <w:rFonts w:hint="eastAsia"/>
          <w:lang w:val="en-US" w:eastAsia="zh-CN"/>
        </w:rPr>
        <w:t xml:space="preserve">     </w:t>
      </w:r>
      <w:r>
        <w:drawing>
          <wp:inline distT="0" distB="0" distL="0" distR="0">
            <wp:extent cx="2874010" cy="1979930"/>
            <wp:effectExtent l="0" t="0" r="0" b="1270"/>
            <wp:docPr id="261" name="Picture 26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descr="Graphical user interface&#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874010" cy="1979930"/>
                    </a:xfrm>
                    <a:prstGeom prst="rect">
                      <a:avLst/>
                    </a:prstGeom>
                    <a:noFill/>
                  </pic:spPr>
                </pic:pic>
              </a:graphicData>
            </a:graphic>
          </wp:inline>
        </w:drawing>
      </w:r>
    </w:p>
    <w:p>
      <w:pPr>
        <w:spacing w:before="0" w:after="0"/>
        <w:jc w:val="center"/>
        <w:rPr>
          <w:rFonts w:hint="default"/>
          <w:lang w:val="en-US" w:eastAsia="zh-CN"/>
        </w:rPr>
      </w:pPr>
      <w:r>
        <w:rPr>
          <w:rFonts w:hint="eastAsia"/>
          <w:lang w:val="en-US" w:eastAsia="zh-CN"/>
        </w:rPr>
        <w:t xml:space="preserve">Case1                                                  Case2 </w:t>
      </w:r>
    </w:p>
    <w:p>
      <w:pPr>
        <w:spacing w:before="240" w:after="0"/>
        <w:jc w:val="center"/>
        <w:rPr>
          <w:rFonts w:hint="default"/>
          <w:lang w:val="en-US" w:eastAsia="zh-CN"/>
        </w:rPr>
      </w:pPr>
      <w:r>
        <w:rPr>
          <w:rFonts w:hint="eastAsia"/>
          <w:lang w:val="en-US" w:eastAsia="zh-CN"/>
        </w:rPr>
        <w:t>Figure 2. Handover of known intra/inter-frequency</w:t>
      </w:r>
    </w:p>
    <w:p>
      <w:pPr>
        <w:rPr>
          <w:b/>
          <w:bCs/>
          <w:lang w:eastAsia="zh-CN"/>
        </w:rPr>
      </w:pPr>
    </w:p>
    <w:p>
      <w:pPr>
        <w:rPr>
          <w:b/>
          <w:bCs/>
          <w:lang w:eastAsia="zh-CN"/>
        </w:rPr>
      </w:pPr>
      <w:r>
        <w:rPr>
          <w:b/>
          <w:bCs/>
          <w:lang w:eastAsia="zh-CN"/>
        </w:rPr>
        <w:t xml:space="preserve">Proposal 2: RAN4 </w:t>
      </w:r>
      <w:r>
        <w:rPr>
          <w:rFonts w:hint="eastAsia"/>
          <w:b/>
          <w:bCs/>
          <w:lang w:val="en-US" w:eastAsia="zh-CN"/>
        </w:rPr>
        <w:t xml:space="preserve">need </w:t>
      </w:r>
      <w:r>
        <w:rPr>
          <w:b/>
          <w:bCs/>
          <w:lang w:eastAsia="zh-CN"/>
        </w:rPr>
        <w:t>to clarify the definition of intra-frequency and inter-frequency handover in the spec.</w:t>
      </w:r>
    </w:p>
    <w:p>
      <w:pPr>
        <w:spacing w:before="240" w:after="0"/>
        <w:jc w:val="both"/>
        <w:rPr>
          <w:rFonts w:hint="eastAsia"/>
          <w:color w:val="0070C0"/>
          <w:szCs w:val="24"/>
          <w:lang w:val="en-US" w:eastAsia="zh-CN"/>
        </w:rPr>
      </w:pPr>
      <w:r>
        <w:rPr>
          <w:rFonts w:hint="eastAsia"/>
          <w:lang w:val="en-US" w:eastAsia="zh-CN"/>
        </w:rPr>
        <w:t xml:space="preserve">In RAN4#106 meeting, a company has discussed the combination of SSBs and proposed adding </w:t>
      </w:r>
      <w:r>
        <w:rPr>
          <w:rFonts w:eastAsia="宋体"/>
          <w:color w:val="0070C0"/>
          <w:szCs w:val="24"/>
          <w:lang w:eastAsia="zh-CN"/>
        </w:rPr>
        <w:t>clarification to handover requirement</w:t>
      </w:r>
      <w:r>
        <w:rPr>
          <w:rFonts w:hint="eastAsia"/>
          <w:color w:val="0070C0"/>
          <w:szCs w:val="24"/>
          <w:lang w:val="en-US" w:eastAsia="zh-CN"/>
        </w:rPr>
        <w:t>.</w:t>
      </w:r>
    </w:p>
    <w:tbl>
      <w:tblPr>
        <w:tblStyle w:val="21"/>
        <w:tblW w:w="1000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100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521" w:hRule="atLeast"/>
        </w:trPr>
        <w:tc>
          <w:tcPr>
            <w:tcW w:w="10001" w:type="dxa"/>
            <w:tcMar>
              <w:top w:w="0" w:type="dxa"/>
              <w:left w:w="108" w:type="dxa"/>
              <w:bottom w:w="0" w:type="dxa"/>
              <w:right w:w="108" w:type="dxa"/>
            </w:tcMar>
          </w:tcPr>
          <w:p>
            <w:pPr>
              <w:rPr>
                <w:b/>
                <w:color w:val="0070C0"/>
                <w:u w:val="single"/>
                <w:lang w:eastAsia="ko-KR"/>
              </w:rPr>
            </w:pPr>
            <w:r>
              <w:rPr>
                <w:b/>
                <w:color w:val="0070C0"/>
                <w:u w:val="single"/>
                <w:lang w:eastAsia="ko-KR"/>
              </w:rPr>
              <w:t>Revision of the intra/inter-frequency definition in handover</w:t>
            </w:r>
          </w:p>
          <w:p>
            <w:pPr>
              <w:pStyle w:val="31"/>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FFS on whether to add following clarification to handover requirement:</w:t>
            </w:r>
          </w:p>
          <w:p>
            <w:pPr>
              <w:pStyle w:val="31"/>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lang w:eastAsia="zh-CN"/>
              </w:rPr>
              <w:t xml:space="preserve">Handover for a RedCap UE is defined as intra-frequency handover if the center frequency and subcarrier spacing (SCS) of the </w:t>
            </w:r>
            <w:r>
              <w:rPr>
                <w:u w:val="single"/>
                <w:lang w:eastAsia="zh-CN"/>
              </w:rPr>
              <w:t xml:space="preserve">reference SSB of the serving cell </w:t>
            </w:r>
            <w:r>
              <w:rPr>
                <w:lang w:eastAsia="zh-CN"/>
              </w:rPr>
              <w:t xml:space="preserve">is same as the center frequency and SCS of the </w:t>
            </w:r>
            <w:r>
              <w:rPr>
                <w:u w:val="single"/>
                <w:lang w:eastAsia="zh-CN"/>
              </w:rPr>
              <w:t>reference SSB of the target cell,</w:t>
            </w:r>
            <w:r>
              <w:rPr>
                <w:lang w:eastAsia="zh-CN"/>
              </w:rPr>
              <w:t xml:space="preserve"> where:</w:t>
            </w:r>
          </w:p>
          <w:p>
            <w:pPr>
              <w:pStyle w:val="31"/>
              <w:numPr>
                <w:ilvl w:val="2"/>
                <w:numId w:val="5"/>
              </w:numPr>
              <w:overflowPunct/>
              <w:autoSpaceDE/>
              <w:autoSpaceDN/>
              <w:adjustRightInd/>
              <w:spacing w:after="0"/>
              <w:ind w:firstLineChars="0"/>
              <w:contextualSpacing/>
              <w:textAlignment w:val="auto"/>
              <w:rPr>
                <w:lang w:eastAsia="zh-CN"/>
              </w:rPr>
            </w:pPr>
            <w:r>
              <w:rPr>
                <w:lang w:eastAsia="zh-CN"/>
              </w:rPr>
              <w:t xml:space="preserve">Option 1a: The reference SSB of the serving cell is the SSB configured in the </w:t>
            </w:r>
            <w:r>
              <w:rPr>
                <w:i/>
                <w:iCs/>
                <w:lang w:eastAsia="zh-CN"/>
              </w:rPr>
              <w:t>BWP-specific</w:t>
            </w:r>
            <w:r>
              <w:rPr>
                <w:lang w:eastAsia="zh-CN"/>
              </w:rPr>
              <w:t xml:space="preserve"> </w:t>
            </w:r>
            <w:r>
              <w:rPr>
                <w:i/>
                <w:iCs/>
                <w:lang w:eastAsia="zh-CN"/>
              </w:rPr>
              <w:t>servingCellMO</w:t>
            </w:r>
            <w:r>
              <w:rPr>
                <w:lang w:eastAsia="zh-CN"/>
              </w:rPr>
              <w:t xml:space="preserve">, if configured, else the SSB configured in the </w:t>
            </w:r>
            <w:r>
              <w:rPr>
                <w:i/>
                <w:iCs/>
                <w:lang w:eastAsia="zh-CN"/>
              </w:rPr>
              <w:t>servingCellMO</w:t>
            </w:r>
          </w:p>
          <w:p>
            <w:pPr>
              <w:pStyle w:val="31"/>
              <w:numPr>
                <w:ilvl w:val="2"/>
                <w:numId w:val="5"/>
              </w:numPr>
              <w:overflowPunct/>
              <w:autoSpaceDE/>
              <w:autoSpaceDN/>
              <w:adjustRightInd/>
              <w:spacing w:after="0"/>
              <w:ind w:firstLineChars="0"/>
              <w:contextualSpacing/>
              <w:textAlignment w:val="auto"/>
              <w:rPr>
                <w:lang w:eastAsia="zh-CN"/>
              </w:rPr>
            </w:pPr>
            <w:r>
              <w:rPr>
                <w:lang w:eastAsia="zh-CN"/>
              </w:rPr>
              <w:t>Option 1b: The reference SSB of the serving cell is the SSB configured in the active BWP of the serving cell</w:t>
            </w:r>
          </w:p>
          <w:p>
            <w:pPr>
              <w:pStyle w:val="31"/>
              <w:numPr>
                <w:ilvl w:val="2"/>
                <w:numId w:val="5"/>
              </w:numPr>
              <w:overflowPunct/>
              <w:autoSpaceDE/>
              <w:autoSpaceDN/>
              <w:adjustRightInd/>
              <w:spacing w:after="0"/>
              <w:ind w:firstLineChars="0"/>
              <w:contextualSpacing/>
              <w:textAlignment w:val="auto"/>
              <w:rPr>
                <w:lang w:eastAsia="zh-CN"/>
              </w:rPr>
            </w:pPr>
            <w:r>
              <w:rPr>
                <w:lang w:eastAsia="zh-CN"/>
              </w:rPr>
              <w:t xml:space="preserve">The reference SSB of the target cell is the SSB configured in the </w:t>
            </w:r>
            <w:r>
              <w:rPr>
                <w:i/>
                <w:iCs/>
                <w:lang w:eastAsia="zh-CN"/>
              </w:rPr>
              <w:t xml:space="preserve">firstActiveBWP </w:t>
            </w:r>
            <w:r>
              <w:rPr>
                <w:lang w:eastAsia="zh-CN"/>
              </w:rPr>
              <w:t>of the target cell</w:t>
            </w:r>
          </w:p>
          <w:p>
            <w:pPr>
              <w:widowControl/>
              <w:spacing w:after="180" w:line="259" w:lineRule="auto"/>
              <w:jc w:val="left"/>
              <w:rPr>
                <w:rFonts w:ascii="Arial" w:hAnsi="Arial" w:eastAsia="Calibri" w:cs="Arial"/>
                <w:kern w:val="0"/>
                <w:sz w:val="21"/>
                <w:szCs w:val="21"/>
                <w:lang w:val="en-GB" w:eastAsia="en-GB"/>
              </w:rPr>
            </w:pPr>
          </w:p>
        </w:tc>
      </w:tr>
    </w:tbl>
    <w:p>
      <w:pPr>
        <w:rPr>
          <w:lang w:eastAsia="zh-CN"/>
        </w:rPr>
      </w:pPr>
    </w:p>
    <w:p>
      <w:pPr>
        <w:rPr>
          <w:rFonts w:hint="eastAsia"/>
          <w:lang w:eastAsia="zh-CN"/>
        </w:rPr>
      </w:pPr>
      <w:r>
        <w:rPr>
          <w:rFonts w:hint="eastAsia"/>
          <w:lang w:eastAsia="zh-CN"/>
        </w:rPr>
        <w:t>According to WF, if the reference SSB of the target cell is</w:t>
      </w:r>
      <w:r>
        <w:rPr>
          <w:lang w:eastAsia="zh-CN"/>
        </w:rPr>
        <w:t xml:space="preserve"> the SSB </w:t>
      </w:r>
      <w:r>
        <w:rPr>
          <w:rFonts w:hint="eastAsia"/>
          <w:lang w:eastAsia="zh-CN"/>
        </w:rPr>
        <w:t xml:space="preserve">configured in the </w:t>
      </w:r>
      <w:r>
        <w:rPr>
          <w:rFonts w:hint="eastAsia"/>
          <w:i/>
          <w:iCs/>
          <w:lang w:eastAsia="zh-CN"/>
        </w:rPr>
        <w:t>first ActiveBWP</w:t>
      </w:r>
      <w:r>
        <w:rPr>
          <w:rFonts w:hint="eastAsia"/>
          <w:lang w:eastAsia="zh-CN"/>
        </w:rPr>
        <w:t xml:space="preserve"> of the target cell instead of SSB configured in the </w:t>
      </w:r>
      <w:r>
        <w:rPr>
          <w:rFonts w:hint="eastAsia"/>
          <w:i/>
          <w:iCs/>
          <w:lang w:eastAsia="zh-CN"/>
        </w:rPr>
        <w:t>targetCellMO</w:t>
      </w:r>
      <w:r>
        <w:rPr>
          <w:rFonts w:hint="eastAsia"/>
          <w:i/>
          <w:iCs/>
          <w:lang w:val="en-US" w:eastAsia="zh-CN"/>
        </w:rPr>
        <w:t xml:space="preserve"> </w:t>
      </w:r>
      <w:r>
        <w:rPr>
          <w:rFonts w:hint="eastAsia"/>
          <w:lang w:val="en-US" w:eastAsia="zh-CN"/>
        </w:rPr>
        <w:t>(</w:t>
      </w:r>
      <w:r>
        <w:rPr>
          <w:rFonts w:hint="eastAsia"/>
          <w:lang w:eastAsia="zh-CN"/>
        </w:rPr>
        <w:t>if configured</w:t>
      </w:r>
      <w:r>
        <w:rPr>
          <w:rFonts w:hint="eastAsia"/>
          <w:lang w:val="en-US" w:eastAsia="zh-CN"/>
        </w:rPr>
        <w:t>)</w:t>
      </w:r>
      <w:r>
        <w:rPr>
          <w:rFonts w:hint="eastAsia"/>
          <w:lang w:eastAsia="zh-CN"/>
        </w:rPr>
        <w:t xml:space="preserve">, the problem mentioned above will be resolved. Under this modification, </w:t>
      </w:r>
      <w:r>
        <w:rPr>
          <w:rFonts w:hint="eastAsia"/>
          <w:lang w:val="en-US" w:eastAsia="zh-CN"/>
        </w:rPr>
        <w:t>C</w:t>
      </w:r>
      <w:r>
        <w:rPr>
          <w:rFonts w:hint="eastAsia"/>
          <w:lang w:eastAsia="zh-CN"/>
        </w:rPr>
        <w:t xml:space="preserve">ase1 is </w:t>
      </w:r>
      <w:r>
        <w:rPr>
          <w:rFonts w:hint="eastAsia"/>
          <w:lang w:val="en-US" w:eastAsia="zh-CN"/>
        </w:rPr>
        <w:t>inter-frequency handover which will</w:t>
      </w:r>
      <w:r>
        <w:rPr>
          <w:rFonts w:hint="eastAsia"/>
        </w:rPr>
        <w:t xml:space="preserve"> obtain an additional sample for AGC tuning</w:t>
      </w:r>
      <w:r>
        <w:rPr>
          <w:rFonts w:hint="eastAsia"/>
          <w:lang w:eastAsia="zh-CN"/>
        </w:rPr>
        <w:t xml:space="preserve">,, and </w:t>
      </w:r>
      <w:r>
        <w:rPr>
          <w:rFonts w:hint="eastAsia"/>
          <w:lang w:val="en-US" w:eastAsia="zh-CN"/>
        </w:rPr>
        <w:t>C</w:t>
      </w:r>
      <w:r>
        <w:rPr>
          <w:rFonts w:hint="eastAsia"/>
          <w:lang w:eastAsia="zh-CN"/>
        </w:rPr>
        <w:t xml:space="preserve">ase2 is </w:t>
      </w:r>
      <w:r>
        <w:rPr>
          <w:rFonts w:hint="eastAsia"/>
          <w:lang w:val="en-US" w:eastAsia="zh-CN"/>
        </w:rPr>
        <w:t>intra-frequency handover</w:t>
      </w:r>
      <w:r>
        <w:rPr>
          <w:rFonts w:hint="eastAsia"/>
          <w:lang w:eastAsia="zh-CN"/>
        </w:rPr>
        <w:t xml:space="preserve">. </w:t>
      </w:r>
    </w:p>
    <w:p>
      <w:pPr>
        <w:rPr>
          <w:rFonts w:hint="eastAsia"/>
          <w:lang w:eastAsia="zh-CN"/>
        </w:rPr>
      </w:pPr>
      <w:r>
        <w:rPr>
          <w:rFonts w:hint="eastAsia"/>
          <w:lang w:eastAsia="zh-CN"/>
        </w:rPr>
        <w:t xml:space="preserve">At the same time, as the reference SSB of the serving cell has already been </w:t>
      </w:r>
      <w:r>
        <w:rPr>
          <w:lang w:eastAsia="zh-CN"/>
        </w:rPr>
        <w:t>consider</w:t>
      </w:r>
      <w:r>
        <w:rPr>
          <w:rFonts w:hint="eastAsia"/>
          <w:lang w:val="en-US" w:eastAsia="zh-CN"/>
        </w:rPr>
        <w:t>ed</w:t>
      </w:r>
      <w:r>
        <w:rPr>
          <w:rFonts w:hint="eastAsia"/>
          <w:lang w:eastAsia="zh-CN"/>
        </w:rPr>
        <w:t xml:space="preserve"> </w:t>
      </w:r>
      <w:r>
        <w:rPr>
          <w:rFonts w:hint="eastAsia"/>
          <w:lang w:val="en-US" w:eastAsia="zh-CN"/>
        </w:rPr>
        <w:t>as s the SSB configured in the BWP-specific servingCellMO, if configured, else the SSB configured in the servingCellMO</w:t>
      </w:r>
      <w:r>
        <w:rPr>
          <w:rFonts w:hint="eastAsia"/>
          <w:lang w:eastAsia="zh-CN"/>
        </w:rPr>
        <w:t>, we suggest continuing to follow the agreement while elaborating on the reference SSB of the Target cell.</w:t>
      </w:r>
    </w:p>
    <w:p>
      <w:pPr>
        <w:rPr>
          <w:rFonts w:hint="eastAsia"/>
          <w:lang w:eastAsia="zh-CN"/>
        </w:rPr>
      </w:pPr>
    </w:p>
    <w:p>
      <w:pPr>
        <w:ind w:left="0"/>
        <w:rPr>
          <w:b/>
          <w:bCs/>
          <w:lang w:eastAsia="zh-CN"/>
        </w:rPr>
      </w:pPr>
      <w:r>
        <w:rPr>
          <w:b/>
          <w:bCs/>
          <w:lang w:eastAsia="zh-CN"/>
        </w:rPr>
        <w:t>Proposal 3: Handover for a RedCap UE is defined as intra-frequency handover if the center frequency and subcarrier spacing (SCS) of the reference SSB of the serving cell is same as the center frequency and SCS of the reference SSB of the target cell, where:</w:t>
      </w:r>
    </w:p>
    <w:p>
      <w:pPr>
        <w:numPr>
          <w:ilvl w:val="0"/>
          <w:numId w:val="6"/>
        </w:numPr>
        <w:ind w:left="840" w:hanging="420"/>
        <w:rPr>
          <w:b/>
          <w:bCs/>
          <w:lang w:eastAsia="zh-CN"/>
        </w:rPr>
      </w:pPr>
      <w:r>
        <w:rPr>
          <w:b/>
          <w:bCs/>
          <w:lang w:eastAsia="zh-CN"/>
        </w:rPr>
        <w:t>The reference SSB of the serving cell is the SSB configured in the BWP-specific servingCellMO, if configured, else the SSB configured in the servingCellMO</w:t>
      </w:r>
    </w:p>
    <w:p>
      <w:pPr>
        <w:numPr>
          <w:ilvl w:val="0"/>
          <w:numId w:val="6"/>
        </w:numPr>
        <w:spacing w:before="0" w:after="0"/>
        <w:ind w:left="840" w:hanging="420"/>
        <w:jc w:val="left"/>
        <w:rPr>
          <w:rFonts w:hint="default"/>
          <w:lang w:val="en-US" w:eastAsia="zh-CN"/>
        </w:rPr>
      </w:pPr>
      <w:r>
        <w:rPr>
          <w:b/>
          <w:bCs/>
          <w:lang w:eastAsia="zh-CN"/>
        </w:rPr>
        <w:t>The reference SSB of the target cell is the SSB configured in the firstActiveBWP of the target cell</w:t>
      </w:r>
    </w:p>
    <w:p>
      <w:pPr>
        <w:numPr>
          <w:ilvl w:val="-1"/>
          <w:numId w:val="0"/>
        </w:numPr>
        <w:spacing w:before="0" w:after="0"/>
        <w:ind w:left="420" w:firstLine="0"/>
        <w:jc w:val="left"/>
        <w:rPr>
          <w:rFonts w:hint="default"/>
          <w:lang w:val="en-US" w:eastAsia="zh-CN"/>
        </w:rPr>
      </w:pPr>
    </w:p>
    <w:p>
      <w:pPr>
        <w:spacing w:before="0" w:after="0"/>
        <w:jc w:val="left"/>
        <w:rPr>
          <w:rFonts w:hint="eastAsia"/>
          <w:lang w:val="en-US" w:eastAsia="zh-CN"/>
        </w:rPr>
      </w:pPr>
      <w:r>
        <w:rPr>
          <w:rFonts w:hint="default"/>
          <w:lang w:val="en-US" w:eastAsia="zh-CN"/>
        </w:rPr>
        <w:t>There is another issue worth noting at the last meeting</w:t>
      </w:r>
      <w:r>
        <w:rPr>
          <w:rFonts w:hint="eastAsia"/>
          <w:lang w:val="en-US" w:eastAsia="zh-CN"/>
        </w:rPr>
        <w:t>,</w:t>
      </w:r>
      <w:r>
        <w:rPr>
          <w:rFonts w:hint="default"/>
          <w:lang w:val="en-US" w:eastAsia="zh-CN"/>
        </w:rPr>
        <w:t xml:space="preserve"> copied as follows</w:t>
      </w:r>
      <w:r>
        <w:rPr>
          <w:rFonts w:hint="eastAsia"/>
          <w:lang w:val="en-US" w:eastAsia="zh-CN"/>
        </w:rPr>
        <w:t>.</w:t>
      </w:r>
    </w:p>
    <w:tbl>
      <w:tblPr>
        <w:tblStyle w:val="21"/>
        <w:tblW w:w="983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98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404" w:hRule="atLeast"/>
        </w:trPr>
        <w:tc>
          <w:tcPr>
            <w:tcW w:w="9836" w:type="dxa"/>
            <w:tcMar>
              <w:top w:w="0" w:type="dxa"/>
              <w:left w:w="108" w:type="dxa"/>
              <w:bottom w:w="0" w:type="dxa"/>
              <w:right w:w="108" w:type="dxa"/>
            </w:tcMar>
          </w:tcPr>
          <w:p>
            <w:pPr>
              <w:rPr>
                <w:b/>
                <w:color w:val="0070C0"/>
                <w:u w:val="single"/>
                <w:lang w:eastAsia="ko-KR"/>
              </w:rPr>
            </w:pPr>
            <w:r>
              <w:rPr>
                <w:b/>
                <w:color w:val="0070C0"/>
                <w:u w:val="single"/>
                <w:lang w:eastAsia="ko-KR"/>
              </w:rPr>
              <w:t>Intra-frequency cell measurement</w:t>
            </w:r>
          </w:p>
          <w:p>
            <w:pPr>
              <w:pStyle w:val="31"/>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Discuss whether to add follow condition to intra-frequency measurement:</w:t>
            </w:r>
          </w:p>
          <w:p>
            <w:pPr>
              <w:pStyle w:val="31"/>
              <w:numPr>
                <w:ilvl w:val="1"/>
                <w:numId w:val="4"/>
              </w:numPr>
              <w:overflowPunct/>
              <w:autoSpaceDE/>
              <w:autoSpaceDN/>
              <w:adjustRightInd/>
              <w:spacing w:after="120"/>
              <w:ind w:left="1440" w:firstLineChars="0"/>
              <w:textAlignment w:val="auto"/>
              <w:rPr>
                <w:bCs/>
                <w:color w:val="000000" w:themeColor="text1"/>
                <w:lang w:eastAsia="zh-CN"/>
                <w14:textFill>
                  <w14:solidFill>
                    <w14:schemeClr w14:val="tx1"/>
                  </w14:solidFill>
                </w14:textFill>
              </w:rPr>
            </w:pPr>
            <w:r>
              <w:rPr>
                <w:bCs/>
              </w:rPr>
              <w:t>UE is not required to perform intra-frequency cell detection if the intra-frequency cell is already detected, where</w:t>
            </w:r>
            <w:r>
              <w:rPr>
                <w:rFonts w:eastAsiaTheme="minorEastAsia"/>
                <w:bCs/>
                <w:lang w:eastAsia="zh-CN"/>
              </w:rPr>
              <w:t xml:space="preserve"> an intra-frequency cell is regarded as already detected if it has been meeting the following conditions:</w:t>
            </w:r>
          </w:p>
          <w:p>
            <w:pPr>
              <w:ind w:left="1988"/>
              <w:rPr>
                <w:rFonts w:eastAsiaTheme="minorEastAsia"/>
                <w:bCs/>
                <w:lang w:eastAsia="zh-CN"/>
              </w:rPr>
            </w:pPr>
            <w:r>
              <w:rPr>
                <w:rFonts w:eastAsiaTheme="minorEastAsia"/>
                <w:bCs/>
                <w:lang w:eastAsia="zh-CN"/>
              </w:rPr>
              <w:t>-The MO with the same SSB frequency has already be configured, and</w:t>
            </w:r>
          </w:p>
          <w:p>
            <w:pPr>
              <w:ind w:left="1988"/>
              <w:rPr>
                <w:rFonts w:eastAsiaTheme="minorEastAsia"/>
                <w:bCs/>
                <w:lang w:eastAsia="zh-CN"/>
              </w:rPr>
            </w:pPr>
            <w:r>
              <w:rPr>
                <w:rFonts w:eastAsiaTheme="minorEastAsia"/>
                <w:bCs/>
                <w:lang w:eastAsia="zh-CN"/>
              </w:rPr>
              <w:t>FFS on the following:</w:t>
            </w:r>
          </w:p>
          <w:p>
            <w:pPr>
              <w:pStyle w:val="31"/>
              <w:numPr>
                <w:ilvl w:val="0"/>
                <w:numId w:val="7"/>
              </w:numPr>
              <w:overflowPunct/>
              <w:autoSpaceDE/>
              <w:autoSpaceDN/>
              <w:adjustRightInd/>
              <w:spacing w:after="0"/>
              <w:ind w:left="2632" w:firstLineChars="0"/>
              <w:contextualSpacing/>
              <w:textAlignment w:val="auto"/>
              <w:rPr>
                <w:rFonts w:eastAsiaTheme="minorEastAsia"/>
                <w:bCs/>
                <w:lang w:eastAsia="zh-CN"/>
              </w:rPr>
            </w:pPr>
            <w:r>
              <w:rPr>
                <w:rFonts w:eastAsiaTheme="minorEastAsia"/>
                <w:bCs/>
                <w:lang w:eastAsia="zh-CN"/>
              </w:rPr>
              <w:t xml:space="preserve">the UE has sent a valid measurement report for the MO with the same frequency, and </w:t>
            </w:r>
          </w:p>
          <w:p>
            <w:pPr>
              <w:pStyle w:val="31"/>
              <w:numPr>
                <w:ilvl w:val="0"/>
                <w:numId w:val="7"/>
              </w:numPr>
              <w:overflowPunct/>
              <w:autoSpaceDE/>
              <w:autoSpaceDN/>
              <w:adjustRightInd/>
              <w:spacing w:after="0"/>
              <w:ind w:left="2632" w:firstLineChars="0"/>
              <w:contextualSpacing/>
              <w:textAlignment w:val="auto"/>
              <w:rPr>
                <w:rFonts w:eastAsiaTheme="minorEastAsia"/>
                <w:bCs/>
                <w:lang w:eastAsia="zh-CN"/>
              </w:rPr>
            </w:pPr>
            <w:r>
              <w:rPr>
                <w:rFonts w:hint="eastAsia" w:eastAsiaTheme="minorEastAsia"/>
                <w:bCs/>
                <w:lang w:eastAsia="zh-CN"/>
              </w:rPr>
              <w:t>t</w:t>
            </w:r>
            <w:r>
              <w:rPr>
                <w:rFonts w:eastAsiaTheme="minorEastAsia"/>
                <w:bCs/>
                <w:lang w:eastAsia="zh-CN"/>
              </w:rPr>
              <w:t>he SSB measured remains detectable according to the cee identification conditions specified in clause 9.2 and 9.3</w:t>
            </w:r>
          </w:p>
          <w:p>
            <w:pPr>
              <w:widowControl/>
              <w:spacing w:after="180" w:line="259" w:lineRule="auto"/>
              <w:jc w:val="left"/>
              <w:rPr>
                <w:rFonts w:ascii="Arial" w:hAnsi="Arial" w:eastAsia="Calibri" w:cs="Arial"/>
                <w:kern w:val="0"/>
                <w:sz w:val="21"/>
                <w:szCs w:val="21"/>
                <w:lang w:val="en-GB" w:eastAsia="en-GB"/>
              </w:rPr>
            </w:pPr>
          </w:p>
        </w:tc>
      </w:tr>
    </w:tbl>
    <w:p>
      <w:pPr>
        <w:spacing w:before="0" w:after="0"/>
        <w:jc w:val="left"/>
        <w:rPr>
          <w:rFonts w:hint="default" w:eastAsiaTheme="minorEastAsia"/>
          <w:sz w:val="21"/>
          <w:szCs w:val="21"/>
          <w:lang w:val="en-US" w:eastAsia="zh-CN"/>
        </w:rPr>
      </w:pPr>
      <w:r>
        <w:rPr>
          <w:rFonts w:hint="default"/>
          <w:szCs w:val="21"/>
          <w:lang w:val="en-US" w:eastAsia="zh-CN"/>
        </w:rPr>
        <w:t xml:space="preserve">Due to </w:t>
      </w:r>
      <w:r>
        <w:rPr>
          <w:rFonts w:eastAsiaTheme="minorEastAsia"/>
          <w:sz w:val="21"/>
          <w:szCs w:val="21"/>
          <w:lang w:eastAsia="zh-CN"/>
        </w:rPr>
        <w:t>dynamic</w:t>
      </w:r>
      <w:r>
        <w:rPr>
          <w:rFonts w:hint="eastAsia" w:eastAsiaTheme="minorEastAsia"/>
          <w:sz w:val="21"/>
          <w:szCs w:val="21"/>
          <w:lang w:val="en-US" w:eastAsia="zh-CN"/>
        </w:rPr>
        <w:t xml:space="preserve"> </w:t>
      </w:r>
      <w:r>
        <w:rPr>
          <w:rFonts w:hint="default"/>
          <w:szCs w:val="21"/>
          <w:lang w:val="en-US" w:eastAsia="zh-CN"/>
        </w:rPr>
        <w:t xml:space="preserve">BWP switching, </w:t>
      </w:r>
      <w:r>
        <w:rPr>
          <w:rFonts w:eastAsiaTheme="minorEastAsia"/>
          <w:sz w:val="21"/>
          <w:szCs w:val="21"/>
          <w:lang w:eastAsia="zh-CN"/>
        </w:rPr>
        <w:t>one inter-frequency MO may be regarded as intra-frequency MO</w:t>
      </w:r>
      <w:r>
        <w:rPr>
          <w:rFonts w:hint="default"/>
          <w:szCs w:val="21"/>
          <w:lang w:val="en-US" w:eastAsia="zh-CN"/>
        </w:rPr>
        <w:t xml:space="preserve">. </w:t>
      </w:r>
      <w:r>
        <w:rPr>
          <w:rFonts w:eastAsiaTheme="minorEastAsia"/>
          <w:sz w:val="21"/>
          <w:szCs w:val="21"/>
          <w:lang w:eastAsia="zh-CN"/>
        </w:rPr>
        <w:t>For example, SSB-1 is within active BWP, and SSB-2 with different center frequency with SSB-1 is regarded as inter-frequency measurement. Network configures SSB-2 MO (inter-frequency) for UE to measurement. Afterwards UE switches active BWP which can cover SSB-2. Then SSB-2 now is regarded as intra-frequency</w:t>
      </w:r>
      <w:r>
        <w:rPr>
          <w:rFonts w:hint="eastAsia" w:eastAsiaTheme="minorEastAsia"/>
          <w:sz w:val="21"/>
          <w:szCs w:val="21"/>
          <w:lang w:val="en-US" w:eastAsia="zh-CN"/>
        </w:rPr>
        <w:t xml:space="preserve"> and need to perform intra-frequency cell detected [4].</w:t>
      </w:r>
    </w:p>
    <w:p>
      <w:pPr>
        <w:spacing w:before="0" w:after="0"/>
        <w:jc w:val="left"/>
        <w:rPr>
          <w:rFonts w:hint="default" w:eastAsiaTheme="minorEastAsia"/>
          <w:sz w:val="22"/>
          <w:szCs w:val="22"/>
          <w:lang w:val="en-US" w:eastAsia="zh-CN"/>
        </w:rPr>
      </w:pPr>
    </w:p>
    <w:tbl>
      <w:tblPr>
        <w:tblStyle w:val="21"/>
        <w:tblW w:w="983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98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404" w:hRule="atLeast"/>
        </w:trPr>
        <w:tc>
          <w:tcPr>
            <w:tcW w:w="9836" w:type="dxa"/>
            <w:tcMar>
              <w:top w:w="0" w:type="dxa"/>
              <w:left w:w="108" w:type="dxa"/>
              <w:bottom w:w="0" w:type="dxa"/>
              <w:right w:w="108" w:type="dxa"/>
            </w:tcMar>
          </w:tcPr>
          <w:p>
            <w:pPr>
              <w:pStyle w:val="5"/>
              <w:numPr>
                <w:ilvl w:val="0"/>
                <w:numId w:val="0"/>
              </w:numPr>
              <w:ind w:leftChars="0"/>
              <w:outlineLvl w:val="3"/>
            </w:pPr>
            <w:r>
              <w:t>9.2B.5.1</w:t>
            </w:r>
            <w:r>
              <w:tab/>
            </w:r>
            <w:r>
              <w:t>Intra-frequency cell identification</w:t>
            </w:r>
          </w:p>
          <w:p>
            <w:pPr>
              <w:spacing w:after="180"/>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vertAlign w:val="subscript"/>
              </w:rPr>
              <w:t>_RedCap</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w:t>
            </w:r>
            <w:r>
              <w:rPr>
                <w:rFonts w:cs="v4.2.0"/>
                <w:highlight w:val="yellow"/>
              </w:rPr>
              <w:t>new detectable intra frequency cell</w:t>
            </w:r>
            <w:r>
              <w:rPr>
                <w:rFonts w:cs="v4.2.0"/>
              </w:rPr>
              <w:t xml:space="preserve"> within T</w:t>
            </w:r>
            <w:r>
              <w:rPr>
                <w:rFonts w:cs="v4.2.0"/>
                <w:vertAlign w:val="subscript"/>
              </w:rPr>
              <w:t>identify_intra_with_index</w:t>
            </w:r>
            <w:r>
              <w:rPr>
                <w:vertAlign w:val="subscript"/>
              </w:rPr>
              <w:t>_RedCap</w:t>
            </w:r>
            <w:r>
              <w:rPr>
                <w:lang w:eastAsia="zh-CN"/>
              </w:rPr>
              <w:t>. The UE shall be able to identify a new detectable intra frequency SS block of an already detected cell within</w:t>
            </w:r>
            <w:r>
              <w:t xml:space="preserve"> T</w:t>
            </w:r>
            <w:r>
              <w:rPr>
                <w:vertAlign w:val="subscript"/>
              </w:rPr>
              <w:t>identify_intra_without_index_RedCap</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pPr>
              <w:pStyle w:val="40"/>
              <w:spacing w:after="180"/>
            </w:pPr>
            <w:r>
              <w:tab/>
            </w:r>
            <w:r>
              <w:t>T</w:t>
            </w:r>
            <w:r>
              <w:rPr>
                <w:vertAlign w:val="subscript"/>
              </w:rPr>
              <w:t xml:space="preserve">identify_intra_without_index_RedCap </w:t>
            </w:r>
            <w:r>
              <w:t>= (T</w:t>
            </w:r>
            <w:r>
              <w:rPr>
                <w:vertAlign w:val="subscript"/>
              </w:rPr>
              <w:t>PSS/SSS_sync_intra_RedCap</w:t>
            </w:r>
            <w:r>
              <w:t xml:space="preserve"> + T</w:t>
            </w:r>
            <w:r>
              <w:rPr>
                <w:vertAlign w:val="subscript"/>
              </w:rPr>
              <w:t xml:space="preserve"> SSB_measurement_period_intra_RedCap</w:t>
            </w:r>
            <w:r>
              <w:t>) ms</w:t>
            </w:r>
          </w:p>
          <w:p>
            <w:pPr>
              <w:widowControl/>
              <w:spacing w:after="180" w:line="259" w:lineRule="auto"/>
              <w:jc w:val="left"/>
              <w:rPr>
                <w:rFonts w:ascii="Arial" w:hAnsi="Arial" w:eastAsia="Calibri" w:cs="Arial"/>
                <w:kern w:val="0"/>
                <w:sz w:val="21"/>
                <w:szCs w:val="21"/>
                <w:lang w:val="en-GB" w:eastAsia="en-GB"/>
              </w:rPr>
            </w:pPr>
            <w:r>
              <w:tab/>
            </w:r>
            <w:r>
              <w:t>T</w:t>
            </w:r>
            <w:r>
              <w:rPr>
                <w:vertAlign w:val="subscript"/>
              </w:rPr>
              <w:t xml:space="preserve">identify_intra_with_index_RedCap </w:t>
            </w:r>
            <w:r>
              <w:t>= (T</w:t>
            </w:r>
            <w:r>
              <w:rPr>
                <w:vertAlign w:val="subscript"/>
              </w:rPr>
              <w:t>PSS/SSS_sync_intra_RedCap</w:t>
            </w:r>
            <w:r>
              <w:t xml:space="preserve"> + T</w:t>
            </w:r>
            <w:r>
              <w:rPr>
                <w:vertAlign w:val="subscript"/>
              </w:rPr>
              <w:t xml:space="preserve"> SSB_measurement_period_intra_RedCap </w:t>
            </w:r>
            <w:r>
              <w:t>+ T</w:t>
            </w:r>
            <w:r>
              <w:rPr>
                <w:vertAlign w:val="subscript"/>
              </w:rPr>
              <w:t>SSB_time_index_intra_RedCap</w:t>
            </w:r>
            <w:r>
              <w:t>) ms</w:t>
            </w:r>
          </w:p>
        </w:tc>
      </w:tr>
    </w:tbl>
    <w:p>
      <w:pPr>
        <w:widowControl/>
        <w:spacing w:after="180"/>
        <w:jc w:val="both"/>
        <w:rPr>
          <w:rFonts w:hint="eastAsia"/>
          <w:kern w:val="0"/>
          <w:sz w:val="21"/>
          <w:szCs w:val="21"/>
          <w:lang w:val="en-US" w:eastAsia="zh-CN"/>
        </w:rPr>
      </w:pPr>
      <w:r>
        <w:rPr>
          <w:rFonts w:hint="eastAsia" w:ascii="Times New Roman" w:eastAsia="宋体"/>
          <w:kern w:val="0"/>
          <w:sz w:val="21"/>
          <w:szCs w:val="21"/>
          <w:lang w:val="en-US" w:eastAsia="zh-CN"/>
        </w:rPr>
        <w:t>In our understanding,</w:t>
      </w:r>
      <w:r>
        <w:rPr>
          <w:rFonts w:hint="eastAsia"/>
          <w:kern w:val="0"/>
          <w:sz w:val="21"/>
          <w:szCs w:val="21"/>
          <w:lang w:val="en-US" w:eastAsia="zh-CN"/>
        </w:rPr>
        <w:t xml:space="preserve"> </w:t>
      </w:r>
      <w:r>
        <w:rPr>
          <w:bCs/>
        </w:rPr>
        <w:t>UE is not required to perform intra-frequency cell detection</w:t>
      </w:r>
      <w:r>
        <w:rPr>
          <w:rFonts w:hint="eastAsia" w:ascii="Times New Roman" w:eastAsia="宋体"/>
          <w:kern w:val="0"/>
          <w:sz w:val="21"/>
          <w:szCs w:val="21"/>
          <w:lang w:val="en-US" w:eastAsia="zh-CN"/>
        </w:rPr>
        <w:t xml:space="preserve"> in this situation</w:t>
      </w:r>
      <w:r>
        <w:rPr>
          <w:rFonts w:hint="eastAsia"/>
          <w:kern w:val="0"/>
          <w:sz w:val="21"/>
          <w:szCs w:val="21"/>
          <w:lang w:val="en-US" w:eastAsia="zh-CN"/>
        </w:rPr>
        <w:t xml:space="preserve"> as it has been measured as "</w:t>
      </w:r>
      <w:r>
        <w:rPr>
          <w:sz w:val="22"/>
          <w:szCs w:val="22"/>
        </w:rPr>
        <w:t>inter-frequency</w:t>
      </w:r>
      <w:r>
        <w:rPr>
          <w:rFonts w:hint="eastAsia"/>
          <w:kern w:val="0"/>
          <w:sz w:val="21"/>
          <w:szCs w:val="21"/>
          <w:lang w:val="en-US" w:eastAsia="zh-CN"/>
        </w:rPr>
        <w:t>" before</w:t>
      </w:r>
      <w:r>
        <w:rPr>
          <w:rFonts w:hint="eastAsia" w:ascii="Times New Roman" w:eastAsia="宋体"/>
          <w:kern w:val="0"/>
          <w:sz w:val="21"/>
          <w:szCs w:val="21"/>
          <w:lang w:val="en-US" w:eastAsia="zh-CN"/>
        </w:rPr>
        <w:t>.</w:t>
      </w:r>
      <w:r>
        <w:rPr>
          <w:rFonts w:hint="eastAsia"/>
          <w:kern w:val="0"/>
          <w:sz w:val="21"/>
          <w:szCs w:val="21"/>
          <w:lang w:val="en-US" w:eastAsia="zh-CN"/>
        </w:rPr>
        <w:t xml:space="preserve"> But there needs to be a validity limitation here, such as 5s before BWP switching. Without limitation, the detection of SSB-2 as "</w:t>
      </w:r>
      <w:r>
        <w:rPr>
          <w:sz w:val="22"/>
          <w:szCs w:val="22"/>
        </w:rPr>
        <w:t>inter-frequency</w:t>
      </w:r>
      <w:r>
        <w:rPr>
          <w:rFonts w:hint="eastAsia"/>
          <w:kern w:val="0"/>
          <w:sz w:val="21"/>
          <w:szCs w:val="21"/>
          <w:lang w:val="en-US" w:eastAsia="zh-CN"/>
        </w:rPr>
        <w:t>" may already be invalid, but we assume that it is valid and no new detection has been made, which can cause some errors.</w:t>
      </w:r>
    </w:p>
    <w:p>
      <w:pPr>
        <w:widowControl/>
        <w:spacing w:after="180"/>
        <w:jc w:val="left"/>
        <w:rPr>
          <w:rFonts w:ascii="Times New Roman" w:hAnsi="Times New Roman" w:eastAsia="宋体" w:cs="Times New Roman"/>
          <w:b/>
          <w:kern w:val="0"/>
          <w:sz w:val="21"/>
          <w:szCs w:val="21"/>
          <w:lang w:val="en-GB" w:eastAsia="zh-CN"/>
        </w:rPr>
      </w:pPr>
      <w:r>
        <w:rPr>
          <w:rFonts w:ascii="Times New Roman" w:hAnsi="Times New Roman" w:eastAsia="宋体" w:cs="Times New Roman"/>
          <w:b/>
          <w:kern w:val="0"/>
          <w:sz w:val="21"/>
          <w:szCs w:val="21"/>
          <w:lang w:val="en-GB" w:eastAsia="zh-CN"/>
        </w:rPr>
        <w:t xml:space="preserve">Proposal </w:t>
      </w:r>
      <w:r>
        <w:rPr>
          <w:rFonts w:hint="eastAsia" w:ascii="Times New Roman" w:hAnsi="Times New Roman" w:eastAsia="宋体" w:cs="Times New Roman"/>
          <w:b/>
          <w:kern w:val="0"/>
          <w:sz w:val="21"/>
          <w:szCs w:val="21"/>
          <w:lang w:val="en-US" w:eastAsia="zh-CN"/>
        </w:rPr>
        <w:t>3</w:t>
      </w:r>
      <w:r>
        <w:rPr>
          <w:rFonts w:ascii="Times New Roman" w:hAnsi="Times New Roman" w:eastAsia="宋体" w:cs="Times New Roman"/>
          <w:b/>
          <w:kern w:val="0"/>
          <w:sz w:val="21"/>
          <w:szCs w:val="21"/>
          <w:lang w:val="en-GB" w:eastAsia="zh-CN"/>
        </w:rPr>
        <w:t xml:space="preserve">: </w:t>
      </w:r>
      <w:r>
        <w:rPr>
          <w:rFonts w:ascii="Times New Roman" w:hAnsi="Times New Roman" w:eastAsia="MS Mincho" w:cs="Times New Roman"/>
          <w:b/>
          <w:kern w:val="0"/>
          <w:sz w:val="21"/>
          <w:szCs w:val="21"/>
          <w:lang w:val="en-GB" w:eastAsia="en-US"/>
        </w:rPr>
        <w:t>UE is not required to perform intra-frequency cell detection if the intra-frequency cell is already detected, where</w:t>
      </w:r>
      <w:r>
        <w:rPr>
          <w:rFonts w:ascii="Times New Roman" w:hAnsi="Times New Roman" w:eastAsia="宋体" w:cs="Times New Roman"/>
          <w:b/>
          <w:kern w:val="0"/>
          <w:sz w:val="21"/>
          <w:szCs w:val="21"/>
          <w:lang w:val="en-GB" w:eastAsia="zh-CN"/>
        </w:rPr>
        <w:t xml:space="preserve"> an intra-frequency cell is regarded as already detected if it has been meeting the following conditions:</w:t>
      </w:r>
    </w:p>
    <w:p>
      <w:pPr>
        <w:widowControl/>
        <w:spacing w:after="180"/>
        <w:ind w:leftChars="100"/>
        <w:jc w:val="left"/>
        <w:rPr>
          <w:rFonts w:ascii="Times New Roman" w:hAnsi="Times New Roman" w:eastAsia="宋体" w:cs="Times New Roman"/>
          <w:b/>
          <w:kern w:val="0"/>
          <w:sz w:val="21"/>
          <w:szCs w:val="21"/>
          <w:lang w:val="en-GB" w:eastAsia="zh-CN"/>
        </w:rPr>
      </w:pPr>
      <w:r>
        <w:rPr>
          <w:rFonts w:ascii="Times New Roman" w:hAnsi="Times New Roman" w:eastAsia="宋体" w:cs="Times New Roman"/>
          <w:b/>
          <w:kern w:val="0"/>
          <w:sz w:val="21"/>
          <w:szCs w:val="21"/>
          <w:lang w:val="en-GB" w:eastAsia="zh-CN"/>
        </w:rPr>
        <w:t>-The MO with the same SSB frequency has already be configured, and</w:t>
      </w:r>
    </w:p>
    <w:p>
      <w:pPr>
        <w:widowControl/>
        <w:spacing w:after="180"/>
        <w:ind w:leftChars="100"/>
        <w:jc w:val="left"/>
        <w:rPr>
          <w:rFonts w:ascii="Times New Roman" w:hAnsi="Times New Roman" w:eastAsia="宋体" w:cs="Times New Roman"/>
          <w:b/>
          <w:kern w:val="0"/>
          <w:sz w:val="21"/>
          <w:szCs w:val="21"/>
          <w:lang w:val="en-GB" w:eastAsia="zh-CN"/>
        </w:rPr>
      </w:pPr>
      <w:r>
        <w:rPr>
          <w:rFonts w:ascii="Times New Roman" w:hAnsi="Times New Roman" w:eastAsia="宋体" w:cs="Times New Roman"/>
          <w:b/>
          <w:kern w:val="0"/>
          <w:sz w:val="21"/>
          <w:szCs w:val="21"/>
          <w:lang w:val="en-GB" w:eastAsia="zh-CN"/>
        </w:rPr>
        <w:t xml:space="preserve">-During 5s before BWP switching, </w:t>
      </w:r>
    </w:p>
    <w:p>
      <w:pPr>
        <w:numPr>
          <w:ilvl w:val="1"/>
          <w:numId w:val="7"/>
        </w:numPr>
        <w:spacing w:after="0"/>
        <w:ind w:left="840" w:hanging="420"/>
        <w:contextualSpacing/>
        <w:rPr>
          <w:rFonts w:ascii="Times New Roman" w:hAnsi="Times New Roman" w:eastAsia="宋体" w:cs="Times New Roman"/>
          <w:b/>
          <w:sz w:val="21"/>
          <w:szCs w:val="21"/>
          <w:lang w:val="zh-CN" w:eastAsia="zh-CN" w:bidi="ar-SA"/>
        </w:rPr>
      </w:pPr>
      <w:r>
        <w:rPr>
          <w:rFonts w:ascii="Times New Roman" w:hAnsi="Times New Roman" w:eastAsia="宋体" w:cs="Times New Roman"/>
          <w:b/>
          <w:sz w:val="21"/>
          <w:szCs w:val="21"/>
          <w:lang w:val="zh-CN" w:eastAsia="zh-CN" w:bidi="ar-SA"/>
        </w:rPr>
        <w:t xml:space="preserve">the UE has sent a valid measurement report for the MO with the same frequency, and </w:t>
      </w:r>
    </w:p>
    <w:p>
      <w:pPr>
        <w:widowControl/>
        <w:numPr>
          <w:ilvl w:val="1"/>
          <w:numId w:val="7"/>
        </w:numPr>
        <w:spacing w:after="0"/>
        <w:ind w:left="840" w:hanging="420"/>
        <w:contextualSpacing/>
        <w:jc w:val="left"/>
        <w:rPr>
          <w:rFonts w:hint="eastAsia"/>
          <w:b/>
          <w:bCs/>
          <w:i/>
          <w:iCs/>
          <w:kern w:val="0"/>
          <w:sz w:val="21"/>
          <w:szCs w:val="21"/>
          <w:lang w:val="en-US" w:eastAsia="zh-CN"/>
        </w:rPr>
      </w:pPr>
      <w:r>
        <w:rPr>
          <w:rFonts w:hint="eastAsia" w:ascii="Times New Roman" w:hAnsi="Times New Roman" w:eastAsia="宋体" w:cs="Times New Roman"/>
          <w:b/>
          <w:sz w:val="21"/>
          <w:szCs w:val="21"/>
          <w:lang w:val="zh-CN" w:eastAsia="zh-CN" w:bidi="ar-SA"/>
        </w:rPr>
        <w:t>t</w:t>
      </w:r>
      <w:r>
        <w:rPr>
          <w:rFonts w:ascii="Times New Roman" w:hAnsi="Times New Roman" w:eastAsia="宋体" w:cs="Times New Roman"/>
          <w:b/>
          <w:sz w:val="21"/>
          <w:szCs w:val="21"/>
          <w:lang w:val="zh-CN" w:eastAsia="zh-CN" w:bidi="ar-SA"/>
        </w:rPr>
        <w:t>he SSB measured remains detectable according to the cee identification conditions specified in clause 9.2 and 9.3</w:t>
      </w:r>
    </w:p>
    <w:bookmarkEnd w:id="1"/>
    <w:bookmarkEnd w:id="2"/>
    <w:bookmarkEnd w:id="3"/>
    <w:bookmarkEnd w:id="4"/>
    <w:p>
      <w:pPr>
        <w:pStyle w:val="52"/>
        <w:tabs>
          <w:tab w:val="left" w:pos="567"/>
          <w:tab w:val="clear" w:pos="1985"/>
        </w:tabs>
        <w:adjustRightInd w:val="0"/>
        <w:ind w:left="510" w:hanging="510"/>
      </w:pPr>
      <w:r>
        <w:t>Conclusions</w:t>
      </w:r>
    </w:p>
    <w:p>
      <w:pPr>
        <w:widowControl/>
        <w:spacing w:after="180"/>
        <w:jc w:val="both"/>
        <w:rPr>
          <w:kern w:val="0"/>
          <w:sz w:val="21"/>
          <w:szCs w:val="21"/>
          <w:lang w:val="en-US" w:eastAsia="en-US"/>
        </w:rPr>
      </w:pPr>
      <w:bookmarkStart w:id="5" w:name="_Hlk23953093"/>
      <w:r>
        <w:rPr>
          <w:kern w:val="0"/>
          <w:sz w:val="21"/>
          <w:szCs w:val="21"/>
          <w:lang w:val="en-US" w:eastAsia="en-US"/>
        </w:rPr>
        <w:t xml:space="preserve">In this contribution, </w:t>
      </w:r>
      <w:r>
        <w:rPr>
          <w:rFonts w:hint="eastAsia"/>
          <w:kern w:val="0"/>
          <w:sz w:val="21"/>
          <w:szCs w:val="21"/>
          <w:lang w:val="en-US" w:eastAsia="en-US"/>
        </w:rPr>
        <w:t xml:space="preserve">we discussed some of the remaining issues from the previous meeting and expressed our views. </w:t>
      </w:r>
      <w:r>
        <w:rPr>
          <w:kern w:val="0"/>
          <w:sz w:val="21"/>
          <w:szCs w:val="21"/>
          <w:lang w:val="en-US" w:eastAsia="en-US"/>
        </w:rPr>
        <w:t>Based on the discussion, we have made following proposals:</w:t>
      </w:r>
    </w:p>
    <w:p>
      <w:pPr>
        <w:spacing w:before="240" w:after="157" w:afterLines="50"/>
        <w:ind w:left="0"/>
        <w:rPr>
          <w:kern w:val="0"/>
          <w:sz w:val="21"/>
          <w:szCs w:val="21"/>
          <w:lang w:val="en-US" w:eastAsia="en-US"/>
        </w:rPr>
      </w:pPr>
      <w:r>
        <w:rPr>
          <w:kern w:val="0"/>
          <w:sz w:val="21"/>
          <w:szCs w:val="21"/>
          <w:lang w:val="en-US" w:eastAsia="en-US"/>
        </w:rPr>
        <w:fldChar w:fldCharType="begin"/>
      </w:r>
      <w:r>
        <w:rPr>
          <w:kern w:val="0"/>
          <w:sz w:val="21"/>
          <w:szCs w:val="21"/>
          <w:lang w:val="en-US" w:eastAsia="en-US"/>
        </w:rPr>
        <w:instrText xml:space="preserve"> REF _Ref110710656 \h </w:instrText>
      </w:r>
      <w:r>
        <w:rPr>
          <w:kern w:val="0"/>
          <w:sz w:val="21"/>
          <w:szCs w:val="21"/>
          <w:lang w:val="en-US" w:eastAsia="en-US"/>
        </w:rPr>
        <w:fldChar w:fldCharType="separate"/>
      </w:r>
      <w:r>
        <w:rPr>
          <w:rFonts w:hint="eastAsia"/>
          <w:b/>
          <w:bCs/>
          <w:szCs w:val="21"/>
          <w:lang w:val="en-US" w:eastAsia="zh-CN"/>
        </w:rPr>
        <w:t>Proposal 1: UE may assume that the TX power of the SSB of the target cell</w:t>
      </w:r>
      <w:r>
        <w:rPr>
          <w:rFonts w:hint="default"/>
          <w:b/>
          <w:bCs/>
          <w:szCs w:val="21"/>
          <w:lang w:val="en-US" w:eastAsia="zh-CN"/>
        </w:rPr>
        <w:t>’</w:t>
      </w:r>
      <w:r>
        <w:rPr>
          <w:rFonts w:hint="eastAsia"/>
          <w:b/>
          <w:bCs/>
          <w:szCs w:val="21"/>
          <w:lang w:val="en-US" w:eastAsia="zh-CN"/>
        </w:rPr>
        <w:t>s active BWP is same as that of the measured SSBs that belong to the same PCI</w:t>
      </w:r>
      <w:r>
        <w:rPr>
          <w:b/>
          <w:bCs/>
          <w:i/>
          <w:iCs/>
          <w:kern w:val="0"/>
          <w:sz w:val="21"/>
          <w:szCs w:val="21"/>
          <w:lang w:val="en-US" w:eastAsia="ja-JP"/>
        </w:rPr>
        <w:t>.</w:t>
      </w:r>
      <w:r>
        <w:rPr>
          <w:kern w:val="0"/>
          <w:sz w:val="21"/>
          <w:szCs w:val="21"/>
          <w:lang w:val="en-US" w:eastAsia="en-US"/>
        </w:rPr>
        <w:fldChar w:fldCharType="end"/>
      </w:r>
    </w:p>
    <w:p>
      <w:pPr>
        <w:widowControl/>
        <w:spacing w:after="157" w:afterLines="50"/>
        <w:ind w:left="0"/>
        <w:rPr>
          <w:b/>
          <w:bCs/>
          <w:szCs w:val="21"/>
          <w:lang w:eastAsia="zh-CN"/>
        </w:rPr>
      </w:pPr>
      <w:r>
        <w:rPr>
          <w:b/>
          <w:bCs/>
          <w:szCs w:val="21"/>
          <w:lang w:eastAsia="zh-CN"/>
        </w:rPr>
        <w:t xml:space="preserve">Proposal 2: RAN4 </w:t>
      </w:r>
      <w:r>
        <w:rPr>
          <w:rFonts w:hint="eastAsia"/>
          <w:b/>
          <w:bCs/>
          <w:szCs w:val="21"/>
          <w:lang w:val="en-US" w:eastAsia="zh-CN"/>
        </w:rPr>
        <w:t xml:space="preserve">need </w:t>
      </w:r>
      <w:r>
        <w:rPr>
          <w:b/>
          <w:bCs/>
          <w:szCs w:val="21"/>
          <w:lang w:eastAsia="zh-CN"/>
        </w:rPr>
        <w:t>to clarify the definition of intra-frequency and inter-frequency handover in the spec.</w:t>
      </w:r>
    </w:p>
    <w:p>
      <w:pPr>
        <w:widowControl/>
        <w:spacing w:after="157" w:afterLines="50"/>
        <w:ind w:left="0"/>
        <w:rPr>
          <w:b/>
          <w:bCs/>
          <w:szCs w:val="21"/>
          <w:lang w:eastAsia="zh-CN"/>
        </w:rPr>
      </w:pPr>
      <w:r>
        <w:rPr>
          <w:b/>
          <w:bCs/>
          <w:szCs w:val="21"/>
          <w:lang w:eastAsia="zh-CN"/>
        </w:rPr>
        <w:t>Proposal 3: Handover for a RedCap UE is defined as intra-frequency handover if the center frequency and subcarrier spacing (SCS) of the reference SSB of the serving cell is same as the center frequency and SCS of the reference SSB of the target cell, where:</w:t>
      </w:r>
    </w:p>
    <w:p>
      <w:pPr>
        <w:numPr>
          <w:ilvl w:val="0"/>
          <w:numId w:val="6"/>
        </w:numPr>
        <w:spacing w:after="157" w:afterLines="50"/>
        <w:ind w:left="840" w:hanging="420"/>
        <w:rPr>
          <w:b/>
          <w:bCs/>
          <w:szCs w:val="21"/>
          <w:lang w:eastAsia="zh-CN"/>
        </w:rPr>
      </w:pPr>
      <w:r>
        <w:rPr>
          <w:b/>
          <w:bCs/>
          <w:szCs w:val="21"/>
          <w:lang w:eastAsia="zh-CN"/>
        </w:rPr>
        <w:t>The reference SSB of the serving cell is the SSB configured in the BWP-specific servingCellMO, if configured, else the SSB configured in the servingCellMO</w:t>
      </w:r>
    </w:p>
    <w:p>
      <w:pPr>
        <w:widowControl/>
        <w:numPr>
          <w:ilvl w:val="0"/>
          <w:numId w:val="6"/>
        </w:numPr>
        <w:spacing w:after="157" w:afterLines="50"/>
        <w:ind w:left="840" w:hanging="420"/>
        <w:jc w:val="left"/>
        <w:rPr>
          <w:b/>
          <w:bCs/>
          <w:szCs w:val="21"/>
          <w:lang w:eastAsia="zh-CN"/>
        </w:rPr>
      </w:pPr>
      <w:r>
        <w:rPr>
          <w:b/>
          <w:bCs/>
          <w:szCs w:val="21"/>
          <w:lang w:eastAsia="zh-CN"/>
        </w:rPr>
        <w:t>The reference SSB of the target cell is the SSB configured in the firstActiveBWP of the target cell</w:t>
      </w:r>
    </w:p>
    <w:p>
      <w:pPr>
        <w:widowControl/>
        <w:numPr>
          <w:ilvl w:val="-1"/>
          <w:numId w:val="0"/>
        </w:numPr>
        <w:spacing w:after="157" w:afterLines="50"/>
        <w:ind w:left="0" w:firstLine="0"/>
        <w:jc w:val="left"/>
        <w:rPr>
          <w:rFonts w:ascii="Times New Roman" w:hAnsi="Times New Roman" w:eastAsia="宋体" w:cs="Times New Roman"/>
          <w:b/>
          <w:kern w:val="0"/>
          <w:sz w:val="21"/>
          <w:szCs w:val="21"/>
          <w:lang w:val="en-GB" w:eastAsia="zh-CN"/>
        </w:rPr>
      </w:pPr>
      <w:r>
        <w:rPr>
          <w:rFonts w:ascii="Times New Roman" w:hAnsi="Times New Roman" w:eastAsia="宋体" w:cs="Times New Roman"/>
          <w:b/>
          <w:kern w:val="0"/>
          <w:sz w:val="21"/>
          <w:szCs w:val="21"/>
          <w:lang w:val="en-GB" w:eastAsia="zh-CN"/>
        </w:rPr>
        <w:t xml:space="preserve">Proposal </w:t>
      </w:r>
      <w:r>
        <w:rPr>
          <w:rFonts w:hint="eastAsia" w:cs="Times New Roman"/>
          <w:b/>
          <w:kern w:val="0"/>
          <w:sz w:val="21"/>
          <w:szCs w:val="21"/>
          <w:lang w:val="en-US" w:eastAsia="zh-CN"/>
        </w:rPr>
        <w:t>4</w:t>
      </w:r>
      <w:r>
        <w:rPr>
          <w:rFonts w:ascii="Times New Roman" w:hAnsi="Times New Roman" w:eastAsia="宋体" w:cs="Times New Roman"/>
          <w:b/>
          <w:kern w:val="0"/>
          <w:sz w:val="21"/>
          <w:szCs w:val="21"/>
          <w:lang w:val="en-GB" w:eastAsia="zh-CN"/>
        </w:rPr>
        <w:t xml:space="preserve">: </w:t>
      </w:r>
      <w:r>
        <w:rPr>
          <w:rFonts w:ascii="Times New Roman" w:hAnsi="Times New Roman" w:eastAsia="MS Mincho" w:cs="Times New Roman"/>
          <w:b/>
          <w:kern w:val="0"/>
          <w:sz w:val="21"/>
          <w:szCs w:val="21"/>
          <w:lang w:val="en-GB" w:eastAsia="en-US"/>
        </w:rPr>
        <w:t>UE is not required to perform intra-frequency cell detection if the intra-frequency cell is already detected, where</w:t>
      </w:r>
      <w:r>
        <w:rPr>
          <w:rFonts w:ascii="Times New Roman" w:hAnsi="Times New Roman" w:eastAsia="宋体" w:cs="Times New Roman"/>
          <w:b/>
          <w:kern w:val="0"/>
          <w:sz w:val="21"/>
          <w:szCs w:val="21"/>
          <w:lang w:val="en-GB" w:eastAsia="zh-CN"/>
        </w:rPr>
        <w:t xml:space="preserve"> an intra-frequency cell is regarded as already detected if it has been meeting the following conditions:</w:t>
      </w:r>
    </w:p>
    <w:p>
      <w:pPr>
        <w:widowControl/>
        <w:spacing w:after="180"/>
        <w:ind w:leftChars="200"/>
        <w:jc w:val="left"/>
        <w:rPr>
          <w:rFonts w:ascii="Times New Roman" w:hAnsi="Times New Roman" w:eastAsia="宋体" w:cs="Times New Roman"/>
          <w:b/>
          <w:kern w:val="0"/>
          <w:sz w:val="21"/>
          <w:szCs w:val="21"/>
          <w:lang w:val="en-GB" w:eastAsia="zh-CN"/>
        </w:rPr>
      </w:pPr>
      <w:r>
        <w:rPr>
          <w:rFonts w:ascii="Times New Roman" w:hAnsi="Times New Roman" w:eastAsia="宋体" w:cs="Times New Roman"/>
          <w:b/>
          <w:kern w:val="0"/>
          <w:sz w:val="21"/>
          <w:szCs w:val="21"/>
          <w:lang w:val="en-GB" w:eastAsia="zh-CN"/>
        </w:rPr>
        <w:t>-The MO with the same SSB frequency has already be configured, and</w:t>
      </w:r>
    </w:p>
    <w:p>
      <w:pPr>
        <w:widowControl/>
        <w:spacing w:after="180"/>
        <w:ind w:leftChars="200"/>
        <w:jc w:val="left"/>
        <w:rPr>
          <w:rFonts w:ascii="Times New Roman" w:hAnsi="Times New Roman" w:eastAsia="宋体" w:cs="Times New Roman"/>
          <w:b/>
          <w:kern w:val="0"/>
          <w:sz w:val="21"/>
          <w:szCs w:val="21"/>
          <w:lang w:val="en-GB" w:eastAsia="zh-CN"/>
        </w:rPr>
      </w:pPr>
      <w:r>
        <w:rPr>
          <w:rFonts w:ascii="Times New Roman" w:hAnsi="Times New Roman" w:eastAsia="宋体" w:cs="Times New Roman"/>
          <w:b/>
          <w:kern w:val="0"/>
          <w:sz w:val="21"/>
          <w:szCs w:val="21"/>
          <w:lang w:val="en-GB" w:eastAsia="zh-CN"/>
        </w:rPr>
        <w:t xml:space="preserve">-During 5s before BWP switching, </w:t>
      </w:r>
    </w:p>
    <w:p>
      <w:pPr>
        <w:numPr>
          <w:ilvl w:val="1"/>
          <w:numId w:val="7"/>
        </w:numPr>
        <w:spacing w:after="0"/>
        <w:ind w:left="1200" w:leftChars="0" w:hanging="360"/>
        <w:contextualSpacing/>
        <w:rPr>
          <w:rFonts w:ascii="Times New Roman" w:hAnsi="Times New Roman" w:eastAsia="宋体" w:cs="Times New Roman"/>
          <w:b/>
          <w:sz w:val="21"/>
          <w:szCs w:val="21"/>
          <w:lang w:val="zh-CN" w:eastAsia="zh-CN" w:bidi="ar-SA"/>
        </w:rPr>
      </w:pPr>
      <w:r>
        <w:rPr>
          <w:rFonts w:ascii="Times New Roman" w:hAnsi="Times New Roman" w:eastAsia="宋体" w:cs="Times New Roman"/>
          <w:b/>
          <w:sz w:val="21"/>
          <w:szCs w:val="21"/>
          <w:lang w:val="zh-CN" w:eastAsia="zh-CN" w:bidi="ar-SA"/>
        </w:rPr>
        <w:t xml:space="preserve">the UE has sent a valid measurement report for the MO with the same frequency, and </w:t>
      </w:r>
    </w:p>
    <w:p>
      <w:pPr>
        <w:widowControl/>
        <w:numPr>
          <w:ilvl w:val="1"/>
          <w:numId w:val="7"/>
        </w:numPr>
        <w:spacing w:after="0"/>
        <w:ind w:left="1200" w:leftChars="0" w:hanging="360"/>
        <w:contextualSpacing/>
        <w:jc w:val="left"/>
        <w:rPr>
          <w:rFonts w:hint="eastAsia" w:ascii="Times New Roman" w:eastAsia="宋体"/>
          <w:b/>
          <w:bCs/>
          <w:i/>
          <w:iCs/>
          <w:kern w:val="0"/>
          <w:sz w:val="21"/>
          <w:szCs w:val="21"/>
          <w:lang w:val="en-US" w:eastAsia="en-US"/>
        </w:rPr>
      </w:pPr>
      <w:r>
        <w:rPr>
          <w:rFonts w:hint="eastAsia" w:ascii="Times New Roman" w:hAnsi="Times New Roman" w:eastAsia="宋体" w:cs="Times New Roman"/>
          <w:b/>
          <w:sz w:val="21"/>
          <w:szCs w:val="21"/>
          <w:lang w:val="zh-CN" w:eastAsia="zh-CN" w:bidi="ar-SA"/>
        </w:rPr>
        <w:t>t</w:t>
      </w:r>
      <w:r>
        <w:rPr>
          <w:rFonts w:ascii="Times New Roman" w:hAnsi="Times New Roman" w:eastAsia="宋体" w:cs="Times New Roman"/>
          <w:b/>
          <w:sz w:val="21"/>
          <w:szCs w:val="21"/>
          <w:lang w:val="zh-CN" w:eastAsia="zh-CN" w:bidi="ar-SA"/>
        </w:rPr>
        <w:t>he SSB measured remains detectable according to the cee identification conditions specified in clause 9.2 and 9.3</w:t>
      </w:r>
    </w:p>
    <w:bookmarkEnd w:id="5"/>
    <w:p>
      <w:pPr>
        <w:pStyle w:val="52"/>
        <w:tabs>
          <w:tab w:val="left" w:pos="567"/>
          <w:tab w:val="clear" w:pos="1985"/>
        </w:tabs>
        <w:adjustRightInd w:val="0"/>
        <w:ind w:left="510" w:hanging="510"/>
      </w:pPr>
      <w:r>
        <w:t>References</w:t>
      </w:r>
    </w:p>
    <w:p>
      <w:pPr>
        <w:pStyle w:val="50"/>
        <w:numPr>
          <w:ilvl w:val="0"/>
          <w:numId w:val="8"/>
        </w:numPr>
        <w:rPr>
          <w:sz w:val="21"/>
          <w:szCs w:val="21"/>
          <w:lang w:val="en-US" w:eastAsia="en-US"/>
        </w:rPr>
      </w:pPr>
      <w:r>
        <w:rPr>
          <w:rFonts w:hint="eastAsia"/>
          <w:sz w:val="21"/>
          <w:szCs w:val="21"/>
          <w:lang w:val="en-US" w:eastAsia="zh-CN"/>
        </w:rPr>
        <w:t xml:space="preserve">R4-2303264, </w:t>
      </w:r>
      <w:r>
        <w:rPr>
          <w:rFonts w:hint="default"/>
          <w:sz w:val="21"/>
          <w:szCs w:val="21"/>
          <w:lang w:val="en-US" w:eastAsia="zh-CN"/>
        </w:rPr>
        <w:t>“WF on R17 RedCap RRM maintenance”</w:t>
      </w:r>
      <w:r>
        <w:rPr>
          <w:rFonts w:hint="eastAsia"/>
          <w:sz w:val="21"/>
          <w:szCs w:val="21"/>
          <w:lang w:val="en-US" w:eastAsia="zh-CN"/>
        </w:rPr>
        <w:t xml:space="preserve">, </w:t>
      </w:r>
      <w:r>
        <w:rPr>
          <w:rFonts w:hint="eastAsia"/>
          <w:sz w:val="21"/>
          <w:szCs w:val="21"/>
          <w:lang w:val="en-GB"/>
        </w:rPr>
        <w:t>Ericsson</w:t>
      </w:r>
    </w:p>
    <w:p>
      <w:pPr>
        <w:pStyle w:val="50"/>
        <w:numPr>
          <w:ilvl w:val="0"/>
          <w:numId w:val="8"/>
        </w:numPr>
        <w:rPr>
          <w:sz w:val="21"/>
          <w:szCs w:val="21"/>
          <w:lang w:val="en-US" w:eastAsia="en-US"/>
        </w:rPr>
      </w:pPr>
      <w:r>
        <w:rPr>
          <w:rFonts w:hint="eastAsia"/>
          <w:sz w:val="21"/>
          <w:szCs w:val="21"/>
          <w:lang w:val="en-US" w:eastAsia="zh-CN"/>
        </w:rPr>
        <w:fldChar w:fldCharType="begin"/>
      </w:r>
      <w:r>
        <w:rPr>
          <w:rFonts w:hint="eastAsia"/>
          <w:sz w:val="21"/>
          <w:szCs w:val="21"/>
          <w:lang w:val="en-US" w:eastAsia="zh-CN"/>
        </w:rPr>
        <w:instrText xml:space="preserve"> HYPERLINK "https://www.3gpp.org/ftp/tsg_ran/WG4_Radio/TSGR4_104bis-e/InboxR4-2217232.zip" </w:instrText>
      </w:r>
      <w:r>
        <w:rPr>
          <w:rFonts w:hint="eastAsia"/>
          <w:sz w:val="21"/>
          <w:szCs w:val="21"/>
          <w:lang w:val="en-US" w:eastAsia="zh-CN"/>
        </w:rPr>
        <w:fldChar w:fldCharType="separate"/>
      </w:r>
      <w:r>
        <w:rPr>
          <w:rFonts w:hint="eastAsia"/>
          <w:sz w:val="21"/>
          <w:szCs w:val="21"/>
          <w:lang w:val="en-US" w:eastAsia="zh-CN"/>
        </w:rPr>
        <w:t>R4-22</w:t>
      </w:r>
      <w:r>
        <w:rPr>
          <w:rFonts w:hint="eastAsia"/>
          <w:sz w:val="21"/>
          <w:szCs w:val="21"/>
          <w:lang w:val="en-US" w:eastAsia="zh-CN"/>
        </w:rPr>
        <w:fldChar w:fldCharType="end"/>
      </w:r>
      <w:r>
        <w:rPr>
          <w:rFonts w:hint="eastAsia"/>
          <w:sz w:val="21"/>
          <w:szCs w:val="21"/>
          <w:lang w:val="en-US" w:eastAsia="zh-CN"/>
        </w:rPr>
        <w:t xml:space="preserve">10592, </w:t>
      </w:r>
      <w:r>
        <w:rPr>
          <w:rFonts w:hint="default"/>
          <w:sz w:val="21"/>
          <w:szCs w:val="21"/>
          <w:lang w:val="en-US" w:eastAsia="zh-CN"/>
        </w:rPr>
        <w:t>“</w:t>
      </w:r>
      <w:r>
        <w:rPr>
          <w:rFonts w:eastAsia="宋体"/>
          <w:sz w:val="22"/>
          <w:szCs w:val="22"/>
          <w:lang w:val="en-GB" w:eastAsia="zh-CN"/>
        </w:rPr>
        <w:t>WF on RedCap RRM requirements</w:t>
      </w:r>
      <w:r>
        <w:rPr>
          <w:rFonts w:hint="default"/>
          <w:sz w:val="21"/>
          <w:szCs w:val="21"/>
          <w:lang w:val="en-US" w:eastAsia="zh-CN"/>
        </w:rPr>
        <w:t>”</w:t>
      </w:r>
      <w:r>
        <w:rPr>
          <w:rFonts w:hint="eastAsia"/>
          <w:sz w:val="21"/>
          <w:szCs w:val="21"/>
          <w:lang w:val="en-US" w:eastAsia="zh-CN"/>
        </w:rPr>
        <w:t xml:space="preserve">, </w:t>
      </w:r>
      <w:r>
        <w:rPr>
          <w:rFonts w:hint="eastAsia"/>
          <w:sz w:val="21"/>
          <w:szCs w:val="21"/>
          <w:lang w:val="en-GB"/>
        </w:rPr>
        <w:t>Ericsson</w:t>
      </w:r>
    </w:p>
    <w:p>
      <w:pPr>
        <w:pStyle w:val="50"/>
        <w:numPr>
          <w:ilvl w:val="0"/>
          <w:numId w:val="8"/>
        </w:numPr>
        <w:rPr>
          <w:sz w:val="22"/>
          <w:szCs w:val="24"/>
        </w:rPr>
      </w:pPr>
      <w:r>
        <w:rPr>
          <w:rFonts w:hint="eastAsia"/>
          <w:sz w:val="21"/>
          <w:szCs w:val="21"/>
          <w:lang w:val="en-GB"/>
        </w:rPr>
        <w:t xml:space="preserve">R4-2302642, </w:t>
      </w:r>
      <w:r>
        <w:rPr>
          <w:rFonts w:hint="default"/>
          <w:sz w:val="21"/>
          <w:szCs w:val="21"/>
          <w:lang w:val="en-US" w:eastAsia="zh-CN"/>
        </w:rPr>
        <w:t>“Mobility issues for RedCap UEs”</w:t>
      </w:r>
      <w:r>
        <w:rPr>
          <w:rFonts w:hint="eastAsia"/>
          <w:sz w:val="21"/>
          <w:szCs w:val="21"/>
          <w:lang w:val="en-GB"/>
        </w:rPr>
        <w:t>, Qualcomm Incorporated</w:t>
      </w:r>
    </w:p>
    <w:p>
      <w:pPr>
        <w:pStyle w:val="50"/>
        <w:numPr>
          <w:ilvl w:val="0"/>
          <w:numId w:val="8"/>
        </w:numPr>
        <w:rPr>
          <w:sz w:val="22"/>
          <w:szCs w:val="24"/>
        </w:rPr>
      </w:pPr>
      <w:r>
        <w:rPr>
          <w:sz w:val="21"/>
          <w:szCs w:val="22"/>
          <w:lang w:val="en-US" w:eastAsia="zh-CN"/>
        </w:rPr>
        <w:t>R4-2301816</w:t>
      </w:r>
      <w:r>
        <w:rPr>
          <w:rFonts w:hint="eastAsia"/>
          <w:sz w:val="21"/>
          <w:szCs w:val="22"/>
          <w:lang w:val="en-US" w:eastAsia="zh-CN"/>
        </w:rPr>
        <w:t xml:space="preserve">, </w:t>
      </w:r>
      <w:r>
        <w:rPr>
          <w:rFonts w:hint="default"/>
          <w:sz w:val="21"/>
          <w:szCs w:val="22"/>
          <w:lang w:val="en-US" w:eastAsia="zh-CN"/>
        </w:rPr>
        <w:t>“Discussion on remaining issues for RedCap”</w:t>
      </w:r>
      <w:r>
        <w:rPr>
          <w:rFonts w:hint="eastAsia"/>
          <w:sz w:val="21"/>
          <w:szCs w:val="22"/>
          <w:lang w:val="en-US" w:eastAsia="zh-CN"/>
        </w:rPr>
        <w:t xml:space="preserve">, </w:t>
      </w:r>
      <w:bookmarkStart w:id="6" w:name="OLE_LINK25"/>
      <w:r>
        <w:rPr>
          <w:rFonts w:hint="eastAsia"/>
          <w:sz w:val="21"/>
          <w:szCs w:val="22"/>
          <w:lang w:val="en-US" w:eastAsia="zh-CN"/>
        </w:rPr>
        <w:t>Huawei, HiSilicon</w:t>
      </w:r>
      <w:bookmarkEnd w:id="6"/>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6D6EBB1"/>
    <w:multiLevelType w:val="multilevel"/>
    <w:tmpl w:val="E6D6EBB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2">
    <w:nsid w:val="33AB576B"/>
    <w:multiLevelType w:val="multilevel"/>
    <w:tmpl w:val="33AB57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7303F8A"/>
    <w:multiLevelType w:val="multilevel"/>
    <w:tmpl w:val="47303F8A"/>
    <w:lvl w:ilvl="0" w:tentative="0">
      <w:start w:val="5"/>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8B91F45"/>
    <w:multiLevelType w:val="multilevel"/>
    <w:tmpl w:val="48B91F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D6E3167"/>
    <w:multiLevelType w:val="multilevel"/>
    <w:tmpl w:val="4D6E3167"/>
    <w:lvl w:ilvl="0" w:tentative="0">
      <w:start w:val="1"/>
      <w:numFmt w:val="decimal"/>
      <w:pStyle w:val="91"/>
      <w:suff w:val="space"/>
      <w:lvlText w:val="Proposal %1:"/>
      <w:lvlJc w:val="left"/>
      <w:pPr>
        <w:ind w:left="1211" w:hanging="360"/>
      </w:pPr>
      <w:rPr>
        <w:rFonts w:hint="default" w:ascii="Times New Roman" w:hAnsi="Times New Roman"/>
        <w:b/>
        <w:i w:val="0"/>
        <w:color w:val="auto"/>
        <w:sz w:val="20"/>
        <w:lang w:val="en-GB"/>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7"/>
  </w:num>
  <w:num w:numId="2">
    <w:abstractNumId w:val="5"/>
  </w:num>
  <w:num w:numId="3">
    <w:abstractNumId w:val="4"/>
  </w:num>
  <w:num w:numId="4">
    <w:abstractNumId w:val="6"/>
  </w:num>
  <w:num w:numId="5">
    <w:abstractNumId w:val="2"/>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14DC0"/>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A8583A"/>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CE7455"/>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92348E"/>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377B7"/>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76200"/>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274017"/>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112B75"/>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C509CD"/>
    <w:rsid w:val="62D11C3F"/>
    <w:rsid w:val="62E157FC"/>
    <w:rsid w:val="62E81148"/>
    <w:rsid w:val="62F76986"/>
    <w:rsid w:val="62FA3D7F"/>
    <w:rsid w:val="630271E7"/>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AE266D"/>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标题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标题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标题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题注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标题 4 Char"/>
    <w:link w:val="5"/>
    <w:qFormat/>
    <w:uiPriority w:val="0"/>
    <w:rPr>
      <w:rFonts w:ascii="Arial" w:hAnsi="Arial" w:eastAsia="宋体"/>
      <w:sz w:val="24"/>
      <w:lang w:val="en-GB" w:eastAsia="en-US"/>
    </w:rPr>
  </w:style>
  <w:style w:type="character" w:customStyle="1" w:styleId="74">
    <w:name w:val="批注框文本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页眉 Char"/>
    <w:link w:val="17"/>
    <w:qFormat/>
    <w:uiPriority w:val="99"/>
    <w:rPr>
      <w:sz w:val="18"/>
      <w:szCs w:val="18"/>
    </w:rPr>
  </w:style>
  <w:style w:type="character" w:customStyle="1" w:styleId="77">
    <w:name w:val="文档结构图 Char"/>
    <w:link w:val="12"/>
    <w:semiHidden/>
    <w:qFormat/>
    <w:uiPriority w:val="99"/>
    <w:rPr>
      <w:rFonts w:ascii="宋体" w:eastAsia="宋体"/>
      <w:sz w:val="18"/>
      <w:szCs w:val="18"/>
    </w:rPr>
  </w:style>
  <w:style w:type="character" w:customStyle="1" w:styleId="78">
    <w:name w:val="标题 7 Char"/>
    <w:link w:val="8"/>
    <w:qFormat/>
    <w:uiPriority w:val="0"/>
    <w:rPr>
      <w:rFonts w:ascii="Arial" w:hAnsi="Arial" w:eastAsia="宋体"/>
      <w:lang w:val="en-GB" w:eastAsia="en-US"/>
    </w:rPr>
  </w:style>
  <w:style w:type="character" w:customStyle="1" w:styleId="79">
    <w:name w:val="标题 1 Char"/>
    <w:link w:val="2"/>
    <w:qFormat/>
    <w:uiPriority w:val="9"/>
    <w:rPr>
      <w:rFonts w:ascii="Cambria" w:hAnsi="Cambria" w:eastAsia="宋体" w:cs="Times New Roman"/>
      <w:b/>
      <w:bCs/>
      <w:kern w:val="32"/>
      <w:sz w:val="32"/>
      <w:szCs w:val="32"/>
      <w:lang w:val="en-US"/>
    </w:rPr>
  </w:style>
  <w:style w:type="character" w:customStyle="1" w:styleId="80">
    <w:name w:val="页脚 Char"/>
    <w:link w:val="16"/>
    <w:qFormat/>
    <w:uiPriority w:val="99"/>
    <w:rPr>
      <w:sz w:val="18"/>
      <w:szCs w:val="18"/>
    </w:rPr>
  </w:style>
  <w:style w:type="character" w:customStyle="1" w:styleId="81">
    <w:name w:val="批注主题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标题 2 Char"/>
    <w:link w:val="3"/>
    <w:qFormat/>
    <w:uiPriority w:val="0"/>
    <w:rPr>
      <w:rFonts w:ascii="Arial" w:hAnsi="Arial"/>
      <w:sz w:val="32"/>
      <w:lang w:eastAsia="en-US"/>
    </w:rPr>
  </w:style>
  <w:style w:type="character" w:customStyle="1" w:styleId="84">
    <w:name w:val="标题 5 Char"/>
    <w:link w:val="6"/>
    <w:qFormat/>
    <w:uiPriority w:val="0"/>
    <w:rPr>
      <w:rFonts w:ascii="Arial" w:hAnsi="Arial" w:eastAsia="宋体"/>
      <w:sz w:val="22"/>
      <w:lang w:val="en-GB" w:eastAsia="en-US"/>
    </w:rPr>
  </w:style>
  <w:style w:type="character" w:customStyle="1" w:styleId="85">
    <w:name w:val="标题 3 Char"/>
    <w:link w:val="4"/>
    <w:qFormat/>
    <w:uiPriority w:val="0"/>
    <w:rPr>
      <w:rFonts w:ascii="Arial" w:hAnsi="Arial"/>
      <w:sz w:val="28"/>
      <w:lang w:eastAsia="en-US"/>
    </w:rPr>
  </w:style>
  <w:style w:type="character" w:customStyle="1" w:styleId="86">
    <w:name w:val="批注文字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AN4 proposal"/>
    <w:basedOn w:val="11"/>
    <w:next w:val="1"/>
    <w:qFormat/>
    <w:uiPriority w:val="0"/>
    <w:pPr>
      <w:numPr>
        <w:ilvl w:val="0"/>
        <w:numId w:val="2"/>
      </w:numPr>
      <w:ind w:left="0" w:firstLine="0"/>
      <w:jc w:val="left"/>
    </w:pPr>
    <w:rPr>
      <w:rFonts w:ascii="Times New Roman" w:hAnsi="Times New Roman"/>
      <w:b/>
      <w:sz w:val="20"/>
    </w:rPr>
  </w:style>
  <w:style w:type="paragraph" w:customStyle="1" w:styleId="92">
    <w:name w:val="a0"/>
    <w:basedOn w:val="1"/>
    <w:qFormat/>
    <w:uiPriority w:val="0"/>
    <w:pPr>
      <w:spacing w:after="0"/>
    </w:pPr>
    <w:rPr>
      <w:rFonts w:ascii="Calibri" w:hAnsi="Calibri" w:cs="Calibri" w:eastAsiaTheme="minorEastAsia"/>
      <w:sz w:val="22"/>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272</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2023-05-15T08:58:01Z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